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#99</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1911823</w:t>
      </w:r>
    </w:p>
    <w:p>
      <w:pPr>
        <w:tabs>
          <w:tab w:val="center" w:pos="4536"/>
          <w:tab w:val="right" w:pos="9072"/>
        </w:tabs>
        <w:rPr>
          <w:rFonts w:hint="eastAsia" w:ascii="Arial" w:hAnsi="Arial" w:eastAsia="宋体" w:cs="Times New Roman"/>
          <w:b/>
          <w:sz w:val="22"/>
          <w:szCs w:val="22"/>
          <w:lang w:val="sv-SE" w:eastAsia="ja-JP" w:bidi="ar-SA"/>
        </w:rPr>
      </w:pPr>
      <w:r>
        <w:rPr>
          <w:rFonts w:hint="eastAsia" w:ascii="Arial" w:hAnsi="Arial" w:eastAsia="Batang"/>
          <w:b/>
          <w:smallCaps w:val="0"/>
          <w:sz w:val="22"/>
          <w:szCs w:val="22"/>
          <w:lang w:val="en-US" w:eastAsia="zh-CN"/>
        </w:rPr>
        <w:t xml:space="preserve">Reno, USA,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22</w:t>
      </w:r>
      <w:r>
        <w:rPr>
          <w:rFonts w:hint="eastAsia" w:ascii="Arial" w:hAnsi="Arial" w:eastAsia="Batang"/>
          <w:b/>
          <w:sz w:val="22"/>
          <w:szCs w:val="22"/>
          <w:vertAlign w:val="superscript"/>
          <w:lang w:val="en-US" w:eastAsia="zh-CN"/>
        </w:rPr>
        <w:t xml:space="preserve">th </w:t>
      </w:r>
      <w:r>
        <w:rPr>
          <w:rFonts w:hint="eastAsia" w:ascii="Arial" w:hAnsi="Arial" w:eastAsia="Batang"/>
          <w:b/>
          <w:sz w:val="22"/>
          <w:szCs w:val="22"/>
          <w:lang w:val="en-US" w:eastAsia="zh-CN"/>
        </w:rPr>
        <w:t>November</w:t>
      </w:r>
      <w:r>
        <w:rPr>
          <w:rFonts w:ascii="Arial" w:hAnsi="Arial" w:eastAsia="Batang"/>
          <w:b/>
          <w:sz w:val="22"/>
          <w:szCs w:val="22"/>
          <w:lang w:val="sv-SE" w:eastAsia="zh-CN"/>
        </w:rPr>
        <w:t>,</w:t>
      </w:r>
      <w:r>
        <w:rPr>
          <w:rFonts w:ascii="Arial" w:hAnsi="Arial" w:eastAsia="宋体" w:cs="Times New Roman"/>
          <w:b/>
          <w:sz w:val="22"/>
          <w:szCs w:val="22"/>
          <w:lang w:val="sv-SE" w:eastAsia="ja-JP" w:bidi="ar-SA"/>
        </w:rPr>
        <w:t xml:space="preserve"> 2019</w:t>
      </w:r>
    </w:p>
    <w:p>
      <w:pPr>
        <w:pStyle w:val="94"/>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 xml:space="preserve">Remaining issues </w:t>
      </w:r>
      <w:r>
        <w:rPr>
          <w:rFonts w:hint="eastAsia"/>
          <w:sz w:val="22"/>
          <w:szCs w:val="22"/>
          <w:lang w:eastAsia="zh-CN"/>
        </w:rPr>
        <w:t>on enhancement of initial access procedure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2.2</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autoSpaceDE/>
        <w:autoSpaceDN/>
        <w:adjustRightInd/>
        <w:spacing w:before="137" w:beforeLines="50" w:line="260" w:lineRule="auto"/>
        <w:jc w:val="both"/>
        <w:rPr>
          <w:rFonts w:hint="eastAsia" w:eastAsia="宋体"/>
          <w:i w:val="0"/>
          <w:iCs w:val="0"/>
          <w:lang w:val="en-US" w:eastAsia="zh-CN"/>
        </w:rPr>
      </w:pPr>
      <w:bookmarkStart w:id="1" w:name="OLE_LINK2"/>
      <w:bookmarkStart w:id="2" w:name="OLE_LINK1"/>
      <w:bookmarkStart w:id="3" w:name="OLE_LINK15"/>
      <w:bookmarkStart w:id="4" w:name="OLE_LINK16"/>
      <w:r>
        <w:rPr>
          <w:rFonts w:hint="eastAsia" w:eastAsia="宋体"/>
          <w:iCs/>
          <w:lang w:val="en-US" w:eastAsia="zh-CN"/>
        </w:rPr>
        <w:t xml:space="preserve">At RAN #84 plenary meeting in June 2019, the views on essential/optimization items </w:t>
      </w:r>
      <w:r>
        <w:rPr>
          <w:rFonts w:hint="eastAsia" w:eastAsia="宋体"/>
          <w:i w:val="0"/>
          <w:iCs w:val="0"/>
          <w:lang w:val="en-US" w:eastAsia="zh-CN"/>
        </w:rPr>
        <w:t>on each WGs for on time completion of NR-U WI was prese</w:t>
      </w:r>
      <w:r>
        <w:rPr>
          <w:rFonts w:hint="eastAsia" w:eastAsia="宋体"/>
          <w:i w:val="0"/>
          <w:iCs w:val="0"/>
          <w:highlight w:val="none"/>
          <w:lang w:val="en-US" w:eastAsia="zh-CN"/>
        </w:rPr>
        <w:t>nted in [1]. Where</w:t>
      </w:r>
      <w:r>
        <w:rPr>
          <w:rFonts w:hint="eastAsia" w:eastAsia="宋体"/>
          <w:i w:val="0"/>
          <w:iCs w:val="0"/>
          <w:lang w:val="en-US" w:eastAsia="zh-CN"/>
        </w:rPr>
        <w:t xml:space="preserve">in, the essential/optimization items in </w:t>
      </w:r>
      <w:r>
        <w:rPr>
          <w:rFonts w:hint="default" w:eastAsia="宋体"/>
          <w:i w:val="0"/>
          <w:iCs w:val="0"/>
          <w:lang w:val="en-US" w:eastAsia="zh-CN"/>
        </w:rPr>
        <w:t>“</w:t>
      </w:r>
      <w:r>
        <w:rPr>
          <w:rFonts w:hint="eastAsia" w:eastAsia="宋体"/>
          <w:i w:val="0"/>
          <w:iCs w:val="0"/>
          <w:lang w:val="en-US" w:eastAsia="zh-CN"/>
        </w:rPr>
        <w:t>7.2.2.2.2 Enhancements to initial access procedure</w:t>
      </w:r>
      <w:r>
        <w:rPr>
          <w:rFonts w:hint="default" w:eastAsia="宋体"/>
          <w:i w:val="0"/>
          <w:iCs w:val="0"/>
          <w:lang w:val="en-US" w:eastAsia="zh-CN"/>
        </w:rPr>
        <w:t>”</w:t>
      </w:r>
      <w:r>
        <w:rPr>
          <w:rFonts w:hint="eastAsia" w:eastAsia="宋体"/>
          <w:i w:val="0"/>
          <w:iCs w:val="0"/>
          <w:lang w:val="en-US" w:eastAsia="zh-CN"/>
        </w:rPr>
        <w:t xml:space="preserve"> are as follows:</w:t>
      </w:r>
    </w:p>
    <w:p>
      <w:pPr>
        <w:spacing w:after="0" w:line="260" w:lineRule="auto"/>
        <w:rPr>
          <w:i w:val="0"/>
          <w:iCs w:val="0"/>
          <w:lang w:val="en-US"/>
        </w:rPr>
      </w:pPr>
      <w:r>
        <w:rPr>
          <w:b/>
          <w:bCs/>
          <w:i w:val="0"/>
          <w:iCs w:val="0"/>
          <w:lang w:val="en-US"/>
        </w:rPr>
        <w:t>Essential</w:t>
      </w:r>
    </w:p>
    <w:p>
      <w:pPr>
        <w:keepNext w:val="0"/>
        <w:keepLines w:val="0"/>
        <w:pageBreakBefore w:val="0"/>
        <w:widowControl/>
        <w:numPr>
          <w:ilvl w:val="0"/>
          <w:numId w:val="9"/>
        </w:numPr>
        <w:kinsoku/>
        <w:wordWrap/>
        <w:overflowPunct/>
        <w:topLinePunct w:val="0"/>
        <w:autoSpaceDE/>
        <w:autoSpaceDN/>
        <w:bidi w:val="0"/>
        <w:adjustRightInd/>
        <w:snapToGrid/>
        <w:spacing w:after="0" w:line="260" w:lineRule="auto"/>
        <w:ind w:left="675" w:hanging="312"/>
        <w:textAlignment w:val="auto"/>
        <w:outlineLvl w:val="9"/>
        <w:rPr>
          <w:i/>
          <w:iCs/>
          <w:lang w:val="en-US"/>
        </w:rPr>
      </w:pPr>
      <w:r>
        <w:rPr>
          <w:i/>
          <w:iCs/>
          <w:lang w:val="en-US"/>
        </w:rPr>
        <w:t>Timing recovery from SSB</w:t>
      </w:r>
    </w:p>
    <w:p>
      <w:pPr>
        <w:keepNext w:val="0"/>
        <w:keepLines w:val="0"/>
        <w:pageBreakBefore w:val="0"/>
        <w:widowControl/>
        <w:numPr>
          <w:ilvl w:val="0"/>
          <w:numId w:val="9"/>
        </w:numPr>
        <w:kinsoku/>
        <w:wordWrap/>
        <w:overflowPunct/>
        <w:topLinePunct w:val="0"/>
        <w:autoSpaceDE/>
        <w:autoSpaceDN/>
        <w:bidi w:val="0"/>
        <w:adjustRightInd/>
        <w:snapToGrid/>
        <w:spacing w:after="0" w:line="260" w:lineRule="auto"/>
        <w:ind w:left="675" w:hanging="312"/>
        <w:textAlignment w:val="auto"/>
        <w:outlineLvl w:val="9"/>
        <w:rPr>
          <w:i/>
          <w:iCs/>
          <w:lang w:val="en-US"/>
        </w:rPr>
      </w:pPr>
      <w:r>
        <w:rPr>
          <w:i/>
          <w:iCs/>
          <w:lang w:val="en-US"/>
        </w:rPr>
        <w:t>Cross SSB QCL relationship by Q and A: Which A, how to indicate or determine Q, range of Q, how to determine Q for RRM</w:t>
      </w:r>
    </w:p>
    <w:p>
      <w:pPr>
        <w:keepNext w:val="0"/>
        <w:keepLines w:val="0"/>
        <w:pageBreakBefore w:val="0"/>
        <w:widowControl/>
        <w:numPr>
          <w:ilvl w:val="0"/>
          <w:numId w:val="9"/>
        </w:numPr>
        <w:kinsoku/>
        <w:wordWrap/>
        <w:overflowPunct/>
        <w:topLinePunct w:val="0"/>
        <w:autoSpaceDE/>
        <w:autoSpaceDN/>
        <w:bidi w:val="0"/>
        <w:adjustRightInd/>
        <w:snapToGrid/>
        <w:spacing w:after="0" w:line="260" w:lineRule="auto"/>
        <w:ind w:left="675" w:hanging="312"/>
        <w:textAlignment w:val="auto"/>
        <w:outlineLvl w:val="9"/>
        <w:rPr>
          <w:i/>
          <w:iCs/>
          <w:lang w:val="en-US"/>
        </w:rPr>
      </w:pPr>
      <w:r>
        <w:rPr>
          <w:i/>
          <w:iCs/>
          <w:lang w:val="en-US"/>
        </w:rPr>
        <w:t>Type0-PDCCH monitoring</w:t>
      </w:r>
    </w:p>
    <w:p>
      <w:pPr>
        <w:keepNext w:val="0"/>
        <w:keepLines w:val="0"/>
        <w:pageBreakBefore w:val="0"/>
        <w:widowControl/>
        <w:numPr>
          <w:ilvl w:val="0"/>
          <w:numId w:val="9"/>
        </w:numPr>
        <w:kinsoku/>
        <w:wordWrap/>
        <w:overflowPunct/>
        <w:topLinePunct w:val="0"/>
        <w:autoSpaceDE/>
        <w:autoSpaceDN/>
        <w:bidi w:val="0"/>
        <w:adjustRightInd/>
        <w:snapToGrid/>
        <w:ind w:left="675" w:hanging="312"/>
        <w:textAlignment w:val="auto"/>
        <w:outlineLvl w:val="9"/>
        <w:rPr>
          <w:i/>
          <w:iCs/>
          <w:lang w:val="en-US"/>
        </w:rPr>
      </w:pPr>
      <w:r>
        <w:rPr>
          <w:i/>
          <w:iCs/>
          <w:lang w:val="en-US"/>
        </w:rPr>
        <w:t xml:space="preserve">RLM enhancement: IS and OOS </w:t>
      </w:r>
    </w:p>
    <w:p>
      <w:pPr>
        <w:spacing w:after="0" w:line="260" w:lineRule="auto"/>
        <w:rPr>
          <w:i w:val="0"/>
          <w:iCs w:val="0"/>
          <w:lang w:val="en-US"/>
        </w:rPr>
      </w:pPr>
      <w:r>
        <w:rPr>
          <w:b/>
          <w:bCs/>
          <w:i w:val="0"/>
          <w:iCs w:val="0"/>
          <w:lang w:val="en-US"/>
        </w:rPr>
        <w:t>Optimizations</w:t>
      </w:r>
    </w:p>
    <w:p>
      <w:pPr>
        <w:keepNext w:val="0"/>
        <w:keepLines w:val="0"/>
        <w:pageBreakBefore w:val="0"/>
        <w:widowControl/>
        <w:numPr>
          <w:ilvl w:val="0"/>
          <w:numId w:val="10"/>
        </w:numPr>
        <w:kinsoku/>
        <w:wordWrap/>
        <w:overflowPunct/>
        <w:topLinePunct w:val="0"/>
        <w:autoSpaceDE/>
        <w:autoSpaceDN/>
        <w:bidi w:val="0"/>
        <w:adjustRightInd/>
        <w:snapToGrid/>
        <w:spacing w:after="0" w:line="260" w:lineRule="auto"/>
        <w:ind w:left="675" w:hanging="312"/>
        <w:textAlignment w:val="auto"/>
        <w:outlineLvl w:val="9"/>
        <w:rPr>
          <w:i/>
          <w:iCs/>
          <w:lang w:val="en-US"/>
        </w:rPr>
      </w:pPr>
      <w:r>
        <w:rPr>
          <w:i/>
          <w:iCs/>
          <w:lang w:val="en-US"/>
        </w:rPr>
        <w:t>Msg1 enhancements with more opportunities in freq domain (over multiple LBT subbands) and time domain</w:t>
      </w:r>
    </w:p>
    <w:p>
      <w:pPr>
        <w:keepNext w:val="0"/>
        <w:keepLines w:val="0"/>
        <w:pageBreakBefore w:val="0"/>
        <w:widowControl/>
        <w:numPr>
          <w:ilvl w:val="0"/>
          <w:numId w:val="10"/>
        </w:numPr>
        <w:kinsoku/>
        <w:wordWrap/>
        <w:overflowPunct/>
        <w:topLinePunct w:val="0"/>
        <w:autoSpaceDE/>
        <w:autoSpaceDN/>
        <w:bidi w:val="0"/>
        <w:adjustRightInd/>
        <w:snapToGrid/>
        <w:ind w:left="675" w:hanging="312"/>
        <w:textAlignment w:val="auto"/>
        <w:outlineLvl w:val="9"/>
        <w:rPr>
          <w:i/>
          <w:iCs/>
          <w:lang w:val="en-US"/>
        </w:rPr>
      </w:pPr>
      <w:r>
        <w:rPr>
          <w:i/>
          <w:iCs/>
          <w:lang w:val="en-US"/>
        </w:rPr>
        <w:t>RRM enhancement including subband level RSSI and channel occupancy measurement</w:t>
      </w:r>
    </w:p>
    <w:p>
      <w:pPr>
        <w:spacing w:after="180" w:line="259" w:lineRule="auto"/>
        <w:jc w:val="both"/>
        <w:rPr>
          <w:rFonts w:hint="eastAsia"/>
          <w:b w:val="0"/>
          <w:bCs w:val="0"/>
          <w:u w:val="none"/>
          <w:lang w:val="en-US" w:eastAsia="zh-CN"/>
        </w:rPr>
      </w:pPr>
      <w:r>
        <w:rPr>
          <w:rFonts w:hint="eastAsia"/>
          <w:b w:val="0"/>
          <w:bCs w:val="0"/>
          <w:u w:val="none"/>
          <w:lang w:val="en-US" w:eastAsia="zh-CN"/>
        </w:rPr>
        <w:t xml:space="preserve">After that, some agreements and conclusions on initial access procedures were further reached at RAN1 #98 meeting in August and RAN1 #98bis meeting in October as follows [2-3]. </w:t>
      </w:r>
    </w:p>
    <w:p>
      <w:pPr>
        <w:keepNext w:val="0"/>
        <w:keepLines w:val="0"/>
        <w:pageBreakBefore w:val="0"/>
        <w:kinsoku/>
        <w:wordWrap/>
        <w:overflowPunct/>
        <w:topLinePunct w:val="0"/>
        <w:bidi w:val="0"/>
        <w:snapToGrid/>
        <w:spacing w:before="137" w:beforeLines="50" w:after="60" w:line="260" w:lineRule="auto"/>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pStyle w:val="124"/>
        <w:keepNext w:val="0"/>
        <w:keepLines w:val="0"/>
        <w:pageBreakBefore w:val="0"/>
        <w:kinsoku/>
        <w:wordWrap/>
        <w:overflowPunct/>
        <w:topLinePunct w:val="0"/>
        <w:bidi w:val="0"/>
        <w:snapToGrid/>
        <w:spacing w:after="0" w:line="240" w:lineRule="auto"/>
        <w:ind w:left="0" w:leftChars="0"/>
        <w:contextualSpacing/>
        <w:jc w:val="both"/>
        <w:textAlignment w:val="auto"/>
        <w:outlineLvl w:val="9"/>
        <w:rPr>
          <w:i/>
          <w:iCs/>
        </w:rPr>
      </w:pPr>
      <w:r>
        <w:rPr>
          <w:i/>
          <w:iCs/>
        </w:rPr>
        <w:t>For purposes of SSB QCL derivation, the following values of Q are supported: {1, 2, 4, 8}.</w:t>
      </w:r>
    </w:p>
    <w:p>
      <w:pPr>
        <w:pStyle w:val="124"/>
        <w:keepNext w:val="0"/>
        <w:keepLines w:val="0"/>
        <w:pageBreakBefore w:val="0"/>
        <w:numPr>
          <w:ilvl w:val="0"/>
          <w:numId w:val="11"/>
        </w:numPr>
        <w:kinsoku/>
        <w:wordWrap/>
        <w:overflowPunct/>
        <w:topLinePunct w:val="0"/>
        <w:bidi w:val="0"/>
        <w:snapToGrid/>
        <w:spacing w:after="0" w:line="240" w:lineRule="auto"/>
        <w:ind w:leftChars="0"/>
        <w:contextualSpacing/>
        <w:jc w:val="both"/>
        <w:textAlignment w:val="auto"/>
        <w:outlineLvl w:val="9"/>
        <w:rPr>
          <w:i/>
          <w:iCs/>
        </w:rPr>
      </w:pPr>
      <w:r>
        <w:rPr>
          <w:i/>
          <w:iCs/>
        </w:rPr>
        <w:t>FFS: Further down-selection of allowed values.</w:t>
      </w:r>
    </w:p>
    <w:p>
      <w:pPr>
        <w:keepNext w:val="0"/>
        <w:keepLines w:val="0"/>
        <w:pageBreakBefore w:val="0"/>
        <w:kinsoku/>
        <w:wordWrap/>
        <w:overflowPunct/>
        <w:topLinePunct w:val="0"/>
        <w:bidi w:val="0"/>
        <w:snapToGrid/>
        <w:spacing w:before="137" w:beforeLines="50" w:after="60" w:line="260" w:lineRule="auto"/>
        <w:ind w:left="0" w:leftChars="0"/>
        <w:contextualSpacing w:val="0"/>
        <w:jc w:val="left"/>
        <w:textAlignment w:val="auto"/>
        <w:outlineLvl w:val="9"/>
        <w:rPr>
          <w:i w:val="0"/>
          <w:iCs w:val="0"/>
          <w:sz w:val="20"/>
          <w:szCs w:val="20"/>
          <w:highlight w:val="lightGray"/>
          <w:u w:val="none"/>
          <w:lang w:eastAsia="zh-CN"/>
        </w:rPr>
      </w:pPr>
      <w:r>
        <w:rPr>
          <w:i w:val="0"/>
          <w:iCs w:val="0"/>
          <w:sz w:val="20"/>
          <w:szCs w:val="20"/>
          <w:highlight w:val="lightGray"/>
          <w:u w:val="none"/>
          <w:lang w:eastAsia="zh-CN"/>
        </w:rPr>
        <w:t>Conclusion:</w:t>
      </w:r>
    </w:p>
    <w:p>
      <w:pPr>
        <w:pStyle w:val="124"/>
        <w:keepNext w:val="0"/>
        <w:keepLines w:val="0"/>
        <w:pageBreakBefore w:val="0"/>
        <w:kinsoku/>
        <w:wordWrap/>
        <w:overflowPunct/>
        <w:topLinePunct w:val="0"/>
        <w:bidi w:val="0"/>
        <w:snapToGrid/>
        <w:spacing w:after="0" w:line="240" w:lineRule="auto"/>
        <w:ind w:left="0" w:leftChars="0"/>
        <w:contextualSpacing/>
        <w:jc w:val="both"/>
        <w:textAlignment w:val="auto"/>
        <w:outlineLvl w:val="9"/>
        <w:rPr>
          <w:i/>
          <w:iCs/>
        </w:rPr>
      </w:pPr>
      <w:r>
        <w:rPr>
          <w:i/>
          <w:iCs/>
        </w:rPr>
        <w:t>The maximum number of PBCH DMRS sequences used in a cell is unchanged from Rel-15 (=8).</w:t>
      </w:r>
    </w:p>
    <w:p>
      <w:pPr>
        <w:pStyle w:val="124"/>
        <w:keepNext w:val="0"/>
        <w:keepLines w:val="0"/>
        <w:pageBreakBefore w:val="0"/>
        <w:numPr>
          <w:ilvl w:val="0"/>
          <w:numId w:val="11"/>
        </w:numPr>
        <w:kinsoku/>
        <w:wordWrap/>
        <w:overflowPunct/>
        <w:topLinePunct w:val="0"/>
        <w:bidi w:val="0"/>
        <w:snapToGrid/>
        <w:spacing w:after="0" w:line="240" w:lineRule="auto"/>
        <w:ind w:leftChars="0"/>
        <w:contextualSpacing/>
        <w:jc w:val="both"/>
        <w:textAlignment w:val="auto"/>
        <w:outlineLvl w:val="9"/>
        <w:rPr>
          <w:i/>
          <w:iCs/>
        </w:rPr>
      </w:pPr>
      <w:r>
        <w:rPr>
          <w:i/>
          <w:iCs/>
        </w:rPr>
        <w:t>The number of PBCH DMRS sequences used in a cell is independent of Q.</w:t>
      </w:r>
    </w:p>
    <w:p>
      <w:pPr>
        <w:keepNext w:val="0"/>
        <w:keepLines w:val="0"/>
        <w:pageBreakBefore w:val="0"/>
        <w:kinsoku/>
        <w:wordWrap/>
        <w:overflowPunct/>
        <w:topLinePunct w:val="0"/>
        <w:bidi w:val="0"/>
        <w:snapToGrid/>
        <w:spacing w:before="137" w:beforeLines="50" w:after="60" w:line="260" w:lineRule="auto"/>
        <w:ind w:left="0" w:leftChars="0"/>
        <w:contextualSpacing w:val="0"/>
        <w:jc w:val="left"/>
        <w:textAlignment w:val="auto"/>
        <w:outlineLvl w:val="9"/>
        <w:rPr>
          <w:i w:val="0"/>
          <w:iCs w:val="0"/>
          <w:sz w:val="20"/>
          <w:szCs w:val="20"/>
          <w:highlight w:val="green"/>
          <w:u w:val="none"/>
          <w:lang w:eastAsia="zh-CN"/>
        </w:rPr>
      </w:pPr>
      <w:r>
        <w:rPr>
          <w:i w:val="0"/>
          <w:iCs w:val="0"/>
          <w:sz w:val="20"/>
          <w:szCs w:val="20"/>
          <w:highlight w:val="green"/>
          <w:u w:val="none"/>
          <w:lang w:eastAsia="zh-CN"/>
        </w:rPr>
        <w:t>Agreement:</w:t>
      </w:r>
    </w:p>
    <w:p>
      <w:pPr>
        <w:pStyle w:val="124"/>
        <w:keepNext w:val="0"/>
        <w:keepLines w:val="0"/>
        <w:pageBreakBefore w:val="0"/>
        <w:kinsoku/>
        <w:wordWrap/>
        <w:overflowPunct/>
        <w:topLinePunct w:val="0"/>
        <w:bidi w:val="0"/>
        <w:snapToGrid/>
        <w:spacing w:after="0" w:line="240" w:lineRule="auto"/>
        <w:ind w:left="0" w:leftChars="0"/>
        <w:contextualSpacing/>
        <w:jc w:val="both"/>
        <w:textAlignment w:val="auto"/>
        <w:outlineLvl w:val="9"/>
        <w:rPr>
          <w:i/>
          <w:iCs/>
          <w:szCs w:val="20"/>
        </w:rPr>
      </w:pPr>
      <w:r>
        <w:rPr>
          <w:i/>
          <w:iCs/>
          <w:szCs w:val="20"/>
        </w:rPr>
        <w:t>The 3 LSB bits of the SSB candidate position index are represented by the PBCH DMRS sequence index.</w:t>
      </w:r>
    </w:p>
    <w:p>
      <w:pPr>
        <w:keepNext w:val="0"/>
        <w:keepLines w:val="0"/>
        <w:pageBreakBefore w:val="0"/>
        <w:kinsoku/>
        <w:wordWrap/>
        <w:overflowPunct/>
        <w:topLinePunct w:val="0"/>
        <w:bidi w:val="0"/>
        <w:snapToGrid/>
        <w:spacing w:before="137" w:beforeLines="50" w:after="60" w:line="260" w:lineRule="auto"/>
        <w:contextualSpacing w:val="0"/>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keepNext w:val="0"/>
        <w:keepLines w:val="0"/>
        <w:pageBreakBefore w:val="0"/>
        <w:kinsoku/>
        <w:wordWrap/>
        <w:overflowPunct/>
        <w:topLinePunct w:val="0"/>
        <w:bidi w:val="0"/>
        <w:snapToGrid/>
        <w:spacing w:after="0" w:line="240" w:lineRule="auto"/>
        <w:contextualSpacing/>
        <w:jc w:val="both"/>
        <w:textAlignment w:val="auto"/>
        <w:outlineLvl w:val="9"/>
        <w:rPr>
          <w:i/>
          <w:iCs/>
          <w:lang w:eastAsia="ja-JP"/>
        </w:rPr>
      </w:pPr>
      <w:r>
        <w:rPr>
          <w:i/>
          <w:iCs/>
        </w:rPr>
        <w:t xml:space="preserve">For a cell (either serving or a neighbour cell), </w:t>
      </w:r>
      <w:r>
        <w:rPr>
          <w:i/>
          <w:iCs/>
          <w:lang w:eastAsia="ja-JP"/>
        </w:rPr>
        <w:t>UE may assume a QCL relation between SS</w:t>
      </w:r>
      <w:r>
        <w:rPr>
          <w:rFonts w:hint="eastAsia" w:eastAsia="宋体"/>
          <w:i/>
          <w:iCs/>
          <w:lang w:val="en-US" w:eastAsia="zh-CN"/>
        </w:rPr>
        <w:t>B</w:t>
      </w:r>
      <w:r>
        <w:rPr>
          <w:i/>
          <w:iCs/>
          <w:lang w:eastAsia="ja-JP"/>
        </w:rPr>
        <w:t>s within or across DRS transmission or measurement windows that have the same value of modulo(A, Q), once Q is known to the UE</w:t>
      </w:r>
    </w:p>
    <w:p>
      <w:pPr>
        <w:pStyle w:val="124"/>
        <w:keepNext w:val="0"/>
        <w:keepLines w:val="0"/>
        <w:pageBreakBefore w:val="0"/>
        <w:numPr>
          <w:ilvl w:val="0"/>
          <w:numId w:val="11"/>
        </w:numPr>
        <w:kinsoku/>
        <w:wordWrap/>
        <w:overflowPunct/>
        <w:topLinePunct w:val="0"/>
        <w:bidi w:val="0"/>
        <w:snapToGrid/>
        <w:spacing w:after="0" w:line="240" w:lineRule="auto"/>
        <w:ind w:leftChars="0"/>
        <w:contextualSpacing/>
        <w:jc w:val="both"/>
        <w:textAlignment w:val="auto"/>
        <w:outlineLvl w:val="9"/>
        <w:rPr>
          <w:i/>
          <w:iCs/>
          <w:lang w:eastAsia="ja-JP"/>
        </w:rPr>
      </w:pPr>
      <w:r>
        <w:rPr>
          <w:i/>
          <w:iCs/>
        </w:rPr>
        <w:t>A is the PBCH DMRS sequence index</w:t>
      </w:r>
      <w:r>
        <w:rPr>
          <w:i/>
          <w:iCs/>
          <w:lang w:eastAsia="ja-JP"/>
        </w:rPr>
        <w:t>.</w:t>
      </w:r>
    </w:p>
    <w:p>
      <w:pPr>
        <w:pStyle w:val="124"/>
        <w:keepNext w:val="0"/>
        <w:keepLines w:val="0"/>
        <w:pageBreakBefore w:val="0"/>
        <w:numPr>
          <w:ilvl w:val="0"/>
          <w:numId w:val="11"/>
        </w:numPr>
        <w:kinsoku/>
        <w:wordWrap/>
        <w:overflowPunct/>
        <w:topLinePunct w:val="0"/>
        <w:bidi w:val="0"/>
        <w:snapToGrid/>
        <w:spacing w:after="0" w:line="240" w:lineRule="auto"/>
        <w:ind w:left="726" w:leftChars="0" w:hanging="363"/>
        <w:contextualSpacing/>
        <w:jc w:val="both"/>
        <w:textAlignment w:val="auto"/>
        <w:outlineLvl w:val="9"/>
        <w:rPr>
          <w:i/>
          <w:iCs/>
          <w:lang w:eastAsia="ja-JP"/>
        </w:rPr>
      </w:pPr>
      <w:r>
        <w:rPr>
          <w:i/>
          <w:iCs/>
        </w:rPr>
        <w:t>Note: This agreement extends a prior agreement for serving cells on QCL relation between SS/PBCH blocks to neighbour cells</w:t>
      </w:r>
    </w:p>
    <w:p>
      <w:pPr>
        <w:keepNext w:val="0"/>
        <w:keepLines w:val="0"/>
        <w:pageBreakBefore w:val="0"/>
        <w:kinsoku/>
        <w:wordWrap/>
        <w:overflowPunct/>
        <w:topLinePunct w:val="0"/>
        <w:bidi w:val="0"/>
        <w:snapToGrid/>
        <w:spacing w:before="137" w:beforeLines="50" w:after="60" w:line="260" w:lineRule="auto"/>
        <w:ind w:left="0" w:leftChars="0"/>
        <w:contextualSpacing/>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pStyle w:val="124"/>
        <w:keepNext w:val="0"/>
        <w:keepLines w:val="0"/>
        <w:pageBreakBefore w:val="0"/>
        <w:kinsoku/>
        <w:wordWrap/>
        <w:overflowPunct/>
        <w:topLinePunct w:val="0"/>
        <w:bidi w:val="0"/>
        <w:snapToGrid/>
        <w:spacing w:after="0" w:line="240" w:lineRule="auto"/>
        <w:ind w:left="0" w:leftChars="0"/>
        <w:contextualSpacing/>
        <w:jc w:val="both"/>
        <w:textAlignment w:val="auto"/>
        <w:outlineLvl w:val="9"/>
        <w:rPr>
          <w:i/>
          <w:iCs/>
        </w:rPr>
      </w:pPr>
      <w:r>
        <w:rPr>
          <w:i/>
          <w:iCs/>
        </w:rPr>
        <w:t>The following bits of the PBCH payload (not MIB) are used for serving cell timing determination within a frame in addition to the PBCH DMRS sequence index as agreed earlier:</w:t>
      </w:r>
    </w:p>
    <w:p>
      <w:pPr>
        <w:pStyle w:val="124"/>
        <w:keepNext w:val="0"/>
        <w:keepLines w:val="0"/>
        <w:pageBreakBefore w:val="0"/>
        <w:numPr>
          <w:ilvl w:val="0"/>
          <w:numId w:val="12"/>
        </w:numPr>
        <w:kinsoku/>
        <w:wordWrap/>
        <w:overflowPunct/>
        <w:topLinePunct w:val="0"/>
        <w:bidi w:val="0"/>
        <w:snapToGrid/>
        <w:spacing w:after="0" w:line="240" w:lineRule="auto"/>
        <w:ind w:leftChars="0"/>
        <w:contextualSpacing/>
        <w:jc w:val="both"/>
        <w:textAlignment w:val="auto"/>
        <w:outlineLvl w:val="9"/>
        <w:rPr>
          <w:i/>
          <w:iCs/>
        </w:rPr>
      </w:pPr>
      <m:oMath>
        <m:sSub>
          <m:sSubPr>
            <m:ctrlPr>
              <w:rPr>
                <w:rFonts w:hint="default" w:ascii="Cambria Math" w:hAnsi="Cambria Math"/>
                <w:i/>
                <w:iCs/>
              </w:rPr>
            </m:ctrlPr>
          </m:sSubPr>
          <m:e>
            <m:acc>
              <m:accPr>
                <m:chr m:val="̅"/>
                <m:ctrlPr>
                  <w:rPr>
                    <w:rFonts w:hint="default" w:ascii="Cambria Math" w:hAnsi="Cambria Math"/>
                    <w:i/>
                    <w:iCs/>
                  </w:rPr>
                </m:ctrlPr>
              </m:accPr>
              <m:e>
                <m:r>
                  <w:rPr>
                    <w:rFonts w:hint="default" w:ascii="Cambria Math" w:hAnsi="Cambria Math"/>
                  </w:rPr>
                  <m:t>a</m:t>
                </m:r>
                <m:ctrlPr>
                  <w:rPr>
                    <w:rFonts w:hint="default" w:ascii="Cambria Math" w:hAnsi="Cambria Math"/>
                    <w:i/>
                    <w:iCs/>
                  </w:rPr>
                </m:ctrlPr>
              </m:e>
            </m:acc>
            <m:ctrlPr>
              <w:rPr>
                <w:rFonts w:hint="default" w:ascii="Cambria Math" w:hAnsi="Cambria Math"/>
                <w:i/>
                <w:iCs/>
              </w:rPr>
            </m:ctrlPr>
          </m:e>
          <m:sub>
            <m:acc>
              <m:accPr>
                <m:chr m:val="̅"/>
                <m:ctrlPr>
                  <w:rPr>
                    <w:rFonts w:hint="default" w:ascii="Cambria Math" w:hAnsi="Cambria Math"/>
                    <w:i/>
                    <w:iCs/>
                  </w:rPr>
                </m:ctrlPr>
              </m:accPr>
              <m:e>
                <m:r>
                  <w:rPr>
                    <w:rFonts w:hint="default" w:ascii="Cambria Math" w:hAnsi="Cambria Math"/>
                  </w:rPr>
                  <m:t>A</m:t>
                </m:r>
                <m:ctrlPr>
                  <w:rPr>
                    <w:rFonts w:hint="default" w:ascii="Cambria Math" w:hAnsi="Cambria Math"/>
                    <w:i/>
                    <w:iCs/>
                  </w:rPr>
                </m:ctrlPr>
              </m:e>
            </m:acc>
            <m:r>
              <w:rPr>
                <w:rFonts w:hint="default" w:ascii="Cambria Math" w:hAnsi="Cambria Math"/>
              </w:rPr>
              <m:t>+7</m:t>
            </m:r>
            <m:ctrlPr>
              <w:rPr>
                <w:rFonts w:hint="default" w:ascii="Cambria Math" w:hAnsi="Cambria Math"/>
                <w:i/>
                <w:iCs/>
              </w:rPr>
            </m:ctrlPr>
          </m:sub>
        </m:sSub>
      </m:oMath>
      <w:r>
        <w:rPr>
          <w:i/>
          <w:iCs/>
        </w:rPr>
        <w:fldChar w:fldCharType="begin"/>
      </w:r>
      <w:r>
        <w:rPr>
          <w:i/>
          <w:iCs/>
        </w:rPr>
        <w:instrText xml:space="preserve"> QUOTE </w:instrText>
      </w:r>
      <w:r>
        <w:rPr>
          <w:i/>
          <w:iCs/>
          <w:position w:val="-5"/>
        </w:rPr>
        <w:pict>
          <v:shape id="_x0000_i1025"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53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C5534&quot; wsp:rsidP=&quot;003C5534&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instrText xml:space="preserve"> </w:instrText>
      </w:r>
      <w:r>
        <w:rPr>
          <w:i/>
          <w:iCs/>
        </w:rPr>
        <w:fldChar w:fldCharType="separate"/>
      </w:r>
      <w:r>
        <w:rPr>
          <w:i/>
          <w:iCs/>
        </w:rPr>
        <w:fldChar w:fldCharType="end"/>
      </w:r>
      <w:r>
        <w:rPr>
          <w:i/>
          <w:iCs/>
        </w:rPr>
        <w:t xml:space="preserve"> for 15 kHz SCS, and  </w:t>
      </w:r>
      <w:r>
        <w:rPr>
          <w:i/>
          <w:iCs/>
        </w:rPr>
        <w:fldChar w:fldCharType="begin"/>
      </w:r>
      <w:r>
        <w:rPr>
          <w:i/>
          <w:iCs/>
        </w:rPr>
        <w:instrText xml:space="preserve"> QUOTE </w:instrText>
      </w:r>
      <w:r>
        <w:rPr>
          <w:i/>
          <w:iCs/>
          <w:position w:val="-5"/>
        </w:rPr>
        <w:pict>
          <v:shape id="_x0000_i1026"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4CA&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444CA&quot; wsp:rsidP=&quot;00B444CA&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instrText xml:space="preserve"> </w:instrText>
      </w:r>
      <w:r>
        <w:rPr>
          <w:i/>
          <w:iCs/>
        </w:rPr>
        <w:fldChar w:fldCharType="separate"/>
      </w:r>
      <w:r>
        <w:rPr>
          <w:i/>
          <w:iCs/>
          <w:position w:val="-5"/>
        </w:rPr>
        <w:pict>
          <v:shape id="_x0000_i1027"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4CA&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444CA&quot; wsp:rsidP=&quot;00B444CA&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fldChar w:fldCharType="end"/>
      </w:r>
      <w:r>
        <w:rPr>
          <w:i/>
          <w:iCs/>
        </w:rPr>
        <w:t xml:space="preserve"> and </w:t>
      </w:r>
      <w:r>
        <w:rPr>
          <w:i/>
          <w:iCs/>
        </w:rPr>
        <w:fldChar w:fldCharType="begin"/>
      </w:r>
      <w:r>
        <w:rPr>
          <w:i/>
          <w:iCs/>
        </w:rPr>
        <w:instrText xml:space="preserve"> QUOTE </w:instrText>
      </w:r>
      <w:r>
        <w:rPr>
          <w:i/>
          <w:iCs/>
          <w:position w:val="-5"/>
        </w:rPr>
        <w:pict>
          <v:shape id="_x0000_i1028"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CC7&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F5CC7&quot; wsp:rsidP=&quot;004F5CC7&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7&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
          <w:iCs/>
        </w:rPr>
        <w:instrText xml:space="preserve"> </w:instrText>
      </w:r>
      <w:r>
        <w:rPr>
          <w:i/>
          <w:iCs/>
        </w:rPr>
        <w:fldChar w:fldCharType="separate"/>
      </w:r>
      <w:r>
        <w:rPr>
          <w:i/>
          <w:iCs/>
          <w:position w:val="-5"/>
        </w:rPr>
        <w:pict>
          <v:shape id="_x0000_i1029"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CC7&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F5CC7&quot; wsp:rsidP=&quot;004F5CC7&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7&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
          <w:iCs/>
        </w:rPr>
        <w:fldChar w:fldCharType="end"/>
      </w:r>
      <w:r>
        <w:rPr>
          <w:i/>
          <w:iCs/>
        </w:rPr>
        <w:t xml:space="preserve"> for 30 kHz SCS</w:t>
      </w:r>
    </w:p>
    <w:p>
      <w:pPr>
        <w:pStyle w:val="124"/>
        <w:keepNext w:val="0"/>
        <w:keepLines w:val="0"/>
        <w:pageBreakBefore w:val="0"/>
        <w:numPr>
          <w:ilvl w:val="0"/>
          <w:numId w:val="12"/>
        </w:numPr>
        <w:kinsoku/>
        <w:wordWrap/>
        <w:overflowPunct/>
        <w:topLinePunct w:val="0"/>
        <w:bidi w:val="0"/>
        <w:snapToGrid/>
        <w:spacing w:after="0" w:line="240" w:lineRule="auto"/>
        <w:ind w:leftChars="0"/>
        <w:contextualSpacing/>
        <w:jc w:val="both"/>
        <w:textAlignment w:val="auto"/>
        <w:outlineLvl w:val="9"/>
        <w:rPr>
          <w:i/>
          <w:iCs/>
        </w:rPr>
      </w:pPr>
      <w:r>
        <w:rPr>
          <w:i/>
          <w:iCs/>
        </w:rPr>
        <w:fldChar w:fldCharType="begin"/>
      </w:r>
      <w:r>
        <w:rPr>
          <w:i/>
          <w:iCs/>
        </w:rPr>
        <w:instrText xml:space="preserve"> QUOTE </w:instrText>
      </w:r>
      <w:r>
        <w:rPr>
          <w:i/>
          <w:iCs/>
          <w:position w:val="-5"/>
        </w:rPr>
        <w:pict>
          <v:shape id="_x0000_i1030"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58&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81358&quot; wsp:rsidP=&quot;00081358&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
          <w:iCs/>
        </w:rPr>
        <w:instrText xml:space="preserve"> </w:instrText>
      </w:r>
      <w:r>
        <w:rPr>
          <w:i/>
          <w:iCs/>
        </w:rPr>
        <w:fldChar w:fldCharType="separate"/>
      </w:r>
      <w:r>
        <w:rPr>
          <w:i/>
          <w:iCs/>
          <w:position w:val="-5"/>
        </w:rPr>
        <w:pict>
          <v:shape id="_x0000_i1031"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58&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81358&quot; wsp:rsidP=&quot;00081358&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
          <w:iCs/>
        </w:rPr>
        <w:fldChar w:fldCharType="end"/>
      </w:r>
      <w:r>
        <w:rPr>
          <w:i/>
          <w:iCs/>
        </w:rPr>
        <w:t xml:space="preserve"> (the half-frame bit as in Rel-15)</w:t>
      </w:r>
    </w:p>
    <w:p>
      <w:pPr>
        <w:keepNext w:val="0"/>
        <w:keepLines w:val="0"/>
        <w:pageBreakBefore w:val="0"/>
        <w:kinsoku/>
        <w:wordWrap/>
        <w:overflowPunct/>
        <w:topLinePunct w:val="0"/>
        <w:bidi w:val="0"/>
        <w:snapToGrid/>
        <w:spacing w:before="137" w:beforeLines="50" w:after="60" w:line="260" w:lineRule="auto"/>
        <w:ind w:left="0" w:leftChars="0"/>
        <w:contextualSpacing/>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pStyle w:val="124"/>
        <w:keepNext w:val="0"/>
        <w:keepLines w:val="0"/>
        <w:pageBreakBefore w:val="0"/>
        <w:kinsoku/>
        <w:wordWrap/>
        <w:overflowPunct/>
        <w:topLinePunct w:val="0"/>
        <w:bidi w:val="0"/>
        <w:snapToGrid/>
        <w:spacing w:after="0" w:line="240" w:lineRule="auto"/>
        <w:ind w:left="0" w:leftChars="0"/>
        <w:contextualSpacing/>
        <w:jc w:val="both"/>
        <w:textAlignment w:val="auto"/>
        <w:outlineLvl w:val="9"/>
        <w:rPr>
          <w:i/>
          <w:iCs/>
          <w:lang w:eastAsia="ja-JP"/>
        </w:rPr>
      </w:pPr>
      <w:r>
        <w:rPr>
          <w:i/>
          <w:iCs/>
          <w:lang w:eastAsia="ja-JP"/>
        </w:rPr>
        <w:t>If Q is known, candidate monitoring slots for Type0 PDCCH search space are the PDCCH monitoring slots associated with SS/PBCH blocks that are QCL with the SS/PBCH block from which the UE determines that a CORESET for Type0-PDCCH CSS set is present</w:t>
      </w:r>
    </w:p>
    <w:p>
      <w:pPr>
        <w:pStyle w:val="124"/>
        <w:keepNext w:val="0"/>
        <w:keepLines w:val="0"/>
        <w:pageBreakBefore w:val="0"/>
        <w:widowControl w:val="0"/>
        <w:numPr>
          <w:ilvl w:val="0"/>
          <w:numId w:val="13"/>
        </w:numPr>
        <w:kinsoku/>
        <w:wordWrap/>
        <w:overflowPunct/>
        <w:topLinePunct w:val="0"/>
        <w:autoSpaceDE w:val="0"/>
        <w:autoSpaceDN w:val="0"/>
        <w:bidi w:val="0"/>
        <w:adjustRightInd w:val="0"/>
        <w:snapToGrid/>
        <w:spacing w:after="0" w:line="240" w:lineRule="auto"/>
        <w:contextualSpacing/>
        <w:jc w:val="both"/>
        <w:textAlignment w:val="auto"/>
        <w:outlineLvl w:val="9"/>
        <w:rPr>
          <w:rFonts w:hint="eastAsia" w:eastAsia="宋体"/>
          <w:i/>
          <w:iCs/>
          <w:lang w:val="en-US" w:eastAsia="zh-CN"/>
        </w:rPr>
      </w:pPr>
      <w:r>
        <w:rPr>
          <w:i/>
          <w:iCs/>
          <w:lang w:eastAsia="ja-JP"/>
        </w:rPr>
        <w:t>Note: Q may be always known depending on where Q is signalled. This aspect is to be discussed further.</w:t>
      </w:r>
    </w:p>
    <w:p>
      <w:pPr>
        <w:keepNext w:val="0"/>
        <w:keepLines w:val="0"/>
        <w:pageBreakBefore w:val="0"/>
        <w:kinsoku/>
        <w:wordWrap/>
        <w:overflowPunct/>
        <w:topLinePunct w:val="0"/>
        <w:bidi w:val="0"/>
        <w:snapToGrid/>
        <w:spacing w:before="137" w:beforeLines="50" w:after="60" w:line="260" w:lineRule="auto"/>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keepNext w:val="0"/>
        <w:keepLines w:val="0"/>
        <w:pageBreakBefore w:val="0"/>
        <w:kinsoku/>
        <w:wordWrap/>
        <w:overflowPunct/>
        <w:topLinePunct w:val="0"/>
        <w:bidi w:val="0"/>
        <w:snapToGrid/>
        <w:spacing w:after="0" w:line="240" w:lineRule="auto"/>
        <w:jc w:val="both"/>
        <w:textAlignment w:val="auto"/>
        <w:outlineLvl w:val="9"/>
        <w:rPr>
          <w:i/>
          <w:iCs/>
          <w:lang w:eastAsia="zh-CN"/>
        </w:rPr>
      </w:pPr>
      <w:r>
        <w:rPr>
          <w:i/>
          <w:iCs/>
          <w:lang w:eastAsia="zh-CN"/>
        </w:rPr>
        <w:t>If 2 bits can be found to not be necessary in the current MIB, then Parameter Q is indicated in the MIB by a serving cell. Otherwise, Q is indicated in the RMSI.</w:t>
      </w:r>
    </w:p>
    <w:p>
      <w:pPr>
        <w:keepNext w:val="0"/>
        <w:keepLines w:val="0"/>
        <w:pageBreakBefore w:val="0"/>
        <w:kinsoku/>
        <w:wordWrap/>
        <w:overflowPunct/>
        <w:topLinePunct w:val="0"/>
        <w:bidi w:val="0"/>
        <w:snapToGrid/>
        <w:spacing w:before="137" w:beforeLines="50" w:after="60" w:line="260" w:lineRule="auto"/>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pStyle w:val="124"/>
        <w:keepNext w:val="0"/>
        <w:keepLines w:val="0"/>
        <w:pageBreakBefore w:val="0"/>
        <w:kinsoku/>
        <w:wordWrap/>
        <w:overflowPunct/>
        <w:topLinePunct w:val="0"/>
        <w:bidi w:val="0"/>
        <w:snapToGrid/>
        <w:spacing w:after="0" w:line="240" w:lineRule="auto"/>
        <w:ind w:left="0"/>
        <w:jc w:val="both"/>
        <w:textAlignment w:val="auto"/>
        <w:outlineLvl w:val="9"/>
        <w:rPr>
          <w:i/>
          <w:iCs/>
        </w:rPr>
      </w:pPr>
      <w:r>
        <w:rPr>
          <w:i/>
          <w:iCs/>
        </w:rPr>
        <w:t>For RRM measurements of a neighbor cell in IDLE, INACTIVE and CONNECTED UE states,</w:t>
      </w:r>
    </w:p>
    <w:p>
      <w:pPr>
        <w:pStyle w:val="124"/>
        <w:keepNext w:val="0"/>
        <w:keepLines w:val="0"/>
        <w:pageBreakBefore w:val="0"/>
        <w:numPr>
          <w:ilvl w:val="0"/>
          <w:numId w:val="14"/>
        </w:numPr>
        <w:kinsoku/>
        <w:wordWrap/>
        <w:overflowPunct/>
        <w:topLinePunct w:val="0"/>
        <w:autoSpaceDE/>
        <w:autoSpaceDN/>
        <w:bidi w:val="0"/>
        <w:adjustRightInd/>
        <w:snapToGrid/>
        <w:spacing w:after="0" w:line="240" w:lineRule="auto"/>
        <w:jc w:val="both"/>
        <w:textAlignment w:val="auto"/>
        <w:outlineLvl w:val="9"/>
        <w:rPr>
          <w:i/>
          <w:iCs/>
        </w:rPr>
      </w:pPr>
      <w:r>
        <w:rPr>
          <w:i/>
          <w:iCs/>
        </w:rPr>
        <w:t>Support signaling of a common Q value per frequency by broadcast RRC signaling (SIBx) and/or dedicated RRC signaling (measObjectNR) from the serving cell.</w:t>
      </w:r>
    </w:p>
    <w:p>
      <w:pPr>
        <w:pStyle w:val="124"/>
        <w:keepNext w:val="0"/>
        <w:keepLines w:val="0"/>
        <w:pageBreakBefore w:val="0"/>
        <w:numPr>
          <w:ilvl w:val="0"/>
          <w:numId w:val="14"/>
        </w:numPr>
        <w:kinsoku/>
        <w:wordWrap/>
        <w:overflowPunct/>
        <w:topLinePunct w:val="0"/>
        <w:autoSpaceDE/>
        <w:autoSpaceDN/>
        <w:bidi w:val="0"/>
        <w:adjustRightInd/>
        <w:snapToGrid/>
        <w:spacing w:after="0" w:line="240" w:lineRule="auto"/>
        <w:jc w:val="both"/>
        <w:textAlignment w:val="auto"/>
        <w:outlineLvl w:val="9"/>
        <w:rPr>
          <w:i/>
          <w:iCs/>
        </w:rPr>
      </w:pPr>
      <w:r>
        <w:rPr>
          <w:i/>
          <w:iCs/>
        </w:rPr>
        <w:t xml:space="preserve">Support signaling from the serving cell of a Q value for a listed neighbour cell. </w:t>
      </w:r>
    </w:p>
    <w:p>
      <w:pPr>
        <w:pStyle w:val="124"/>
        <w:keepNext w:val="0"/>
        <w:keepLines w:val="0"/>
        <w:pageBreakBefore w:val="0"/>
        <w:numPr>
          <w:ilvl w:val="1"/>
          <w:numId w:val="14"/>
        </w:numPr>
        <w:kinsoku/>
        <w:wordWrap/>
        <w:overflowPunct/>
        <w:topLinePunct w:val="0"/>
        <w:autoSpaceDE/>
        <w:autoSpaceDN/>
        <w:bidi w:val="0"/>
        <w:adjustRightInd/>
        <w:snapToGrid/>
        <w:spacing w:after="0" w:line="240" w:lineRule="auto"/>
        <w:jc w:val="both"/>
        <w:textAlignment w:val="auto"/>
        <w:outlineLvl w:val="9"/>
        <w:rPr>
          <w:i w:val="0"/>
          <w:iCs w:val="0"/>
        </w:rPr>
      </w:pPr>
      <w:r>
        <w:rPr>
          <w:i/>
          <w:iCs/>
        </w:rPr>
        <w:t xml:space="preserve">If Q is signaled for a listed cell, it overrides any common Q value per frequency </w:t>
      </w:r>
    </w:p>
    <w:p>
      <w:pPr>
        <w:keepNext w:val="0"/>
        <w:keepLines w:val="0"/>
        <w:pageBreakBefore w:val="0"/>
        <w:kinsoku/>
        <w:wordWrap/>
        <w:overflowPunct/>
        <w:topLinePunct w:val="0"/>
        <w:bidi w:val="0"/>
        <w:snapToGrid/>
        <w:spacing w:before="137" w:beforeLines="50" w:after="60" w:line="260" w:lineRule="auto"/>
        <w:jc w:val="left"/>
        <w:textAlignment w:val="auto"/>
        <w:outlineLvl w:val="9"/>
        <w:rPr>
          <w:i w:val="0"/>
          <w:iCs w:val="0"/>
          <w:sz w:val="20"/>
          <w:szCs w:val="20"/>
          <w:highlight w:val="green"/>
          <w:lang w:eastAsia="zh-CN"/>
        </w:rPr>
      </w:pPr>
      <w:r>
        <w:rPr>
          <w:i w:val="0"/>
          <w:iCs w:val="0"/>
          <w:sz w:val="20"/>
          <w:szCs w:val="20"/>
          <w:highlight w:val="green"/>
          <w:lang w:eastAsia="zh-CN"/>
        </w:rPr>
        <w:t>Agreement:</w:t>
      </w:r>
    </w:p>
    <w:p>
      <w:pPr>
        <w:keepNext w:val="0"/>
        <w:keepLines w:val="0"/>
        <w:pageBreakBefore w:val="0"/>
        <w:numPr>
          <w:ilvl w:val="0"/>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No further down selection is made for set of Q values, i.e., Q = {1,2,4,8} (resolves FFS of prior agreement on Q values)</w:t>
      </w:r>
    </w:p>
    <w:p>
      <w:pPr>
        <w:keepNext w:val="0"/>
        <w:keepLines w:val="0"/>
        <w:pageBreakBefore w:val="0"/>
        <w:numPr>
          <w:ilvl w:val="1"/>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UE does not expect to be configured with two Type-0 PDCCH monitoring occasions in a slot with Q=1.</w:t>
      </w:r>
    </w:p>
    <w:p>
      <w:pPr>
        <w:keepNext w:val="0"/>
        <w:keepLines w:val="0"/>
        <w:pageBreakBefore w:val="0"/>
        <w:numPr>
          <w:ilvl w:val="1"/>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Note: This does not imply a change in Rel-15 behavior for Type-0 PDCCH monitoring in two consecutive slots.</w:t>
      </w:r>
    </w:p>
    <w:p>
      <w:pPr>
        <w:keepNext w:val="0"/>
        <w:keepLines w:val="0"/>
        <w:pageBreakBefore w:val="0"/>
        <w:numPr>
          <w:ilvl w:val="1"/>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Note: This agreement does not imply any changes to Rel-15 PDCCH monitoring requirements on BD/CCE limits per slot</w:t>
      </w:r>
    </w:p>
    <w:p>
      <w:pPr>
        <w:keepNext w:val="0"/>
        <w:keepLines w:val="0"/>
        <w:pageBreakBefore w:val="0"/>
        <w:numPr>
          <w:ilvl w:val="0"/>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RAN4 requirements for SSB detection during initial cell search should be defined assuming Q = 8. This assumption does not have any other specification impact.</w:t>
      </w:r>
    </w:p>
    <w:p>
      <w:pPr>
        <w:keepNext w:val="0"/>
        <w:keepLines w:val="0"/>
        <w:pageBreakBefore w:val="0"/>
        <w:numPr>
          <w:ilvl w:val="1"/>
          <w:numId w:val="15"/>
        </w:numPr>
        <w:kinsoku/>
        <w:wordWrap/>
        <w:overflowPunct/>
        <w:topLinePunct w:val="0"/>
        <w:bidi w:val="0"/>
        <w:snapToGrid/>
        <w:spacing w:after="0" w:line="240" w:lineRule="auto"/>
        <w:jc w:val="both"/>
        <w:textAlignment w:val="auto"/>
        <w:outlineLvl w:val="9"/>
        <w:rPr>
          <w:i/>
          <w:iCs/>
          <w:lang w:eastAsia="zh-CN"/>
        </w:rPr>
      </w:pPr>
      <w:r>
        <w:rPr>
          <w:i/>
          <w:iCs/>
          <w:lang w:eastAsia="zh-CN"/>
        </w:rPr>
        <w:t>Include this agreement in an LS to RAN4 asking them to take this into account. The LS should also provide an overview on the definition of Q.</w:t>
      </w:r>
    </w:p>
    <w:p>
      <w:pPr>
        <w:keepNext w:val="0"/>
        <w:keepLines w:val="0"/>
        <w:pageBreakBefore w:val="0"/>
        <w:kinsoku/>
        <w:wordWrap/>
        <w:overflowPunct/>
        <w:topLinePunct w:val="0"/>
        <w:bidi w:val="0"/>
        <w:snapToGrid/>
        <w:spacing w:before="137" w:beforeLines="50" w:after="60" w:line="260" w:lineRule="auto"/>
        <w:ind w:left="0"/>
        <w:jc w:val="both"/>
        <w:textAlignment w:val="auto"/>
        <w:outlineLvl w:val="9"/>
        <w:rPr>
          <w:i w:val="0"/>
          <w:iCs w:val="0"/>
          <w:sz w:val="20"/>
          <w:szCs w:val="20"/>
          <w:highlight w:val="green"/>
        </w:rPr>
      </w:pPr>
      <w:r>
        <w:rPr>
          <w:i w:val="0"/>
          <w:iCs w:val="0"/>
          <w:sz w:val="20"/>
          <w:szCs w:val="20"/>
          <w:highlight w:val="green"/>
        </w:rPr>
        <w:t>Agreement:</w:t>
      </w:r>
    </w:p>
    <w:p>
      <w:pPr>
        <w:pStyle w:val="124"/>
        <w:keepNext w:val="0"/>
        <w:keepLines w:val="0"/>
        <w:pageBreakBefore w:val="0"/>
        <w:numPr>
          <w:ilvl w:val="0"/>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The RSSI measurement timing configuration (RMTC) includes the following:</w:t>
      </w:r>
    </w:p>
    <w:p>
      <w:pPr>
        <w:pStyle w:val="124"/>
        <w:keepNext w:val="0"/>
        <w:keepLines w:val="0"/>
        <w:pageBreakBefore w:val="0"/>
        <w:numPr>
          <w:ilvl w:val="1"/>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 xml:space="preserve">Time-domain parameters: </w:t>
      </w:r>
    </w:p>
    <w:p>
      <w:pPr>
        <w:pStyle w:val="124"/>
        <w:keepNext w:val="0"/>
        <w:keepLines w:val="0"/>
        <w:pageBreakBefore w:val="0"/>
        <w:numPr>
          <w:ilvl w:val="2"/>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 xml:space="preserve">Periodicity (e.g., 40/80/160/320/640 ms) </w:t>
      </w:r>
    </w:p>
    <w:p>
      <w:pPr>
        <w:pStyle w:val="124"/>
        <w:keepNext w:val="0"/>
        <w:keepLines w:val="0"/>
        <w:pageBreakBefore w:val="0"/>
        <w:numPr>
          <w:ilvl w:val="2"/>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Measurement duration in terms of OFDM symbols with a configured reference subcarrier spacing</w:t>
      </w:r>
    </w:p>
    <w:p>
      <w:pPr>
        <w:pStyle w:val="124"/>
        <w:keepNext w:val="0"/>
        <w:keepLines w:val="0"/>
        <w:pageBreakBefore w:val="0"/>
        <w:numPr>
          <w:ilvl w:val="2"/>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Offset of RMTC measurement duration</w:t>
      </w:r>
    </w:p>
    <w:p>
      <w:pPr>
        <w:pStyle w:val="124"/>
        <w:keepNext w:val="0"/>
        <w:keepLines w:val="0"/>
        <w:pageBreakBefore w:val="0"/>
        <w:numPr>
          <w:ilvl w:val="1"/>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Frequency-domain parameters:</w:t>
      </w:r>
    </w:p>
    <w:p>
      <w:pPr>
        <w:pStyle w:val="124"/>
        <w:keepNext w:val="0"/>
        <w:keepLines w:val="0"/>
        <w:pageBreakBefore w:val="0"/>
        <w:numPr>
          <w:ilvl w:val="2"/>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Measurement bandwidth at least in units of LBT bandwidths</w:t>
      </w:r>
    </w:p>
    <w:p>
      <w:pPr>
        <w:pStyle w:val="124"/>
        <w:keepNext w:val="0"/>
        <w:keepLines w:val="0"/>
        <w:pageBreakBefore w:val="0"/>
        <w:numPr>
          <w:ilvl w:val="3"/>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FFS: Units other than LBT bandwidths</w:t>
      </w:r>
    </w:p>
    <w:p>
      <w:pPr>
        <w:pStyle w:val="124"/>
        <w:keepNext w:val="0"/>
        <w:keepLines w:val="0"/>
        <w:pageBreakBefore w:val="0"/>
        <w:numPr>
          <w:ilvl w:val="3"/>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 xml:space="preserve">Note: RAN4 can determine if the bandwidth used for the measurement within an LBT bandwidth can be less than the signaled measurement bandwidth. </w:t>
      </w:r>
    </w:p>
    <w:p>
      <w:pPr>
        <w:pStyle w:val="124"/>
        <w:keepNext w:val="0"/>
        <w:keepLines w:val="0"/>
        <w:pageBreakBefore w:val="0"/>
        <w:numPr>
          <w:ilvl w:val="2"/>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Measurement ARFCN for inter-frequency measurements</w:t>
      </w:r>
    </w:p>
    <w:p>
      <w:pPr>
        <w:pStyle w:val="124"/>
        <w:keepNext w:val="0"/>
        <w:keepLines w:val="0"/>
        <w:pageBreakBefore w:val="0"/>
        <w:numPr>
          <w:ilvl w:val="0"/>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lang w:val="en-US"/>
        </w:rPr>
        <w:t>Configurable L3 filtering as in RSSI for LTE-LAA</w:t>
      </w:r>
    </w:p>
    <w:p>
      <w:pPr>
        <w:pStyle w:val="124"/>
        <w:keepNext w:val="0"/>
        <w:keepLines w:val="0"/>
        <w:pageBreakBefore w:val="0"/>
        <w:kinsoku/>
        <w:wordWrap/>
        <w:overflowPunct/>
        <w:topLinePunct w:val="0"/>
        <w:bidi w:val="0"/>
        <w:snapToGrid/>
        <w:spacing w:after="0" w:line="240" w:lineRule="auto"/>
        <w:ind w:left="0"/>
        <w:jc w:val="both"/>
        <w:textAlignment w:val="auto"/>
        <w:outlineLvl w:val="9"/>
        <w:rPr>
          <w:i w:val="0"/>
          <w:iCs w:val="0"/>
        </w:rPr>
      </w:pPr>
    </w:p>
    <w:p>
      <w:pPr>
        <w:pStyle w:val="124"/>
        <w:keepNext w:val="0"/>
        <w:keepLines w:val="0"/>
        <w:pageBreakBefore w:val="0"/>
        <w:kinsoku/>
        <w:wordWrap/>
        <w:overflowPunct/>
        <w:topLinePunct w:val="0"/>
        <w:bidi w:val="0"/>
        <w:snapToGrid/>
        <w:spacing w:after="0" w:line="240" w:lineRule="auto"/>
        <w:ind w:left="0"/>
        <w:jc w:val="both"/>
        <w:textAlignment w:val="auto"/>
        <w:outlineLvl w:val="9"/>
        <w:rPr>
          <w:i w:val="0"/>
          <w:iCs w:val="0"/>
          <w:highlight w:val="lightGray"/>
          <w:u w:val="single"/>
        </w:rPr>
      </w:pPr>
      <w:r>
        <w:rPr>
          <w:i w:val="0"/>
          <w:iCs w:val="0"/>
          <w:highlight w:val="lightGray"/>
          <w:u w:val="single"/>
        </w:rPr>
        <w:t>Conclusion:</w:t>
      </w:r>
    </w:p>
    <w:p>
      <w:pPr>
        <w:pStyle w:val="124"/>
        <w:keepNext w:val="0"/>
        <w:keepLines w:val="0"/>
        <w:pageBreakBefore w:val="0"/>
        <w:kinsoku/>
        <w:wordWrap/>
        <w:overflowPunct/>
        <w:topLinePunct w:val="0"/>
        <w:bidi w:val="0"/>
        <w:snapToGrid/>
        <w:spacing w:after="0" w:line="240" w:lineRule="auto"/>
        <w:ind w:left="0"/>
        <w:jc w:val="both"/>
        <w:textAlignment w:val="auto"/>
        <w:outlineLvl w:val="9"/>
        <w:rPr>
          <w:i/>
          <w:iCs/>
        </w:rPr>
      </w:pPr>
      <w:r>
        <w:rPr>
          <w:i/>
          <w:iCs/>
        </w:rPr>
        <w:t>No new medium contention/load metrics other than channel occupancy are introduced</w:t>
      </w:r>
    </w:p>
    <w:p>
      <w:pPr>
        <w:keepNext w:val="0"/>
        <w:keepLines w:val="0"/>
        <w:pageBreakBefore w:val="0"/>
        <w:kinsoku/>
        <w:wordWrap/>
        <w:overflowPunct/>
        <w:topLinePunct w:val="0"/>
        <w:bidi w:val="0"/>
        <w:snapToGrid/>
        <w:spacing w:before="137" w:beforeLines="50" w:after="0" w:line="240" w:lineRule="auto"/>
        <w:jc w:val="both"/>
        <w:textAlignment w:val="auto"/>
        <w:outlineLvl w:val="9"/>
        <w:rPr>
          <w:i w:val="0"/>
          <w:iCs w:val="0"/>
        </w:rPr>
      </w:pPr>
      <w:r>
        <w:rPr>
          <w:i w:val="0"/>
          <w:iCs w:val="0"/>
          <w:highlight w:val="green"/>
        </w:rPr>
        <w:t>Agreement:</w:t>
      </w:r>
    </w:p>
    <w:p>
      <w:pPr>
        <w:keepNext w:val="0"/>
        <w:keepLines w:val="0"/>
        <w:pageBreakBefore w:val="0"/>
        <w:kinsoku/>
        <w:wordWrap/>
        <w:overflowPunct/>
        <w:topLinePunct w:val="0"/>
        <w:bidi w:val="0"/>
        <w:snapToGrid/>
        <w:spacing w:after="0" w:line="240" w:lineRule="auto"/>
        <w:jc w:val="both"/>
        <w:textAlignment w:val="auto"/>
        <w:outlineLvl w:val="9"/>
        <w:rPr>
          <w:i/>
          <w:iCs/>
        </w:rPr>
      </w:pPr>
      <w:r>
        <w:rPr>
          <w:i/>
          <w:iCs/>
        </w:rPr>
        <w:t>Support configuration of the DRS transmission window duration of a UE’s serving cell(s)</w:t>
      </w:r>
    </w:p>
    <w:p>
      <w:pPr>
        <w:pStyle w:val="124"/>
        <w:keepNext w:val="0"/>
        <w:keepLines w:val="0"/>
        <w:pageBreakBefore w:val="0"/>
        <w:numPr>
          <w:ilvl w:val="0"/>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rPr>
        <w:t>DRS transmission window periodicity is the same as the configuration of SSB burst periodicity</w:t>
      </w:r>
    </w:p>
    <w:p>
      <w:pPr>
        <w:pStyle w:val="124"/>
        <w:keepNext w:val="0"/>
        <w:keepLines w:val="0"/>
        <w:pageBreakBefore w:val="0"/>
        <w:numPr>
          <w:ilvl w:val="0"/>
          <w:numId w:val="16"/>
        </w:numPr>
        <w:kinsoku/>
        <w:wordWrap/>
        <w:overflowPunct/>
        <w:topLinePunct w:val="0"/>
        <w:autoSpaceDE/>
        <w:autoSpaceDN/>
        <w:bidi w:val="0"/>
        <w:adjustRightInd/>
        <w:snapToGrid/>
        <w:spacing w:after="0" w:line="240" w:lineRule="auto"/>
        <w:jc w:val="both"/>
        <w:textAlignment w:val="auto"/>
        <w:outlineLvl w:val="9"/>
        <w:rPr>
          <w:i/>
          <w:iCs/>
          <w:lang w:val="en-US"/>
        </w:rPr>
      </w:pPr>
      <w:r>
        <w:rPr>
          <w:i/>
          <w:iCs/>
        </w:rPr>
        <w:t>Note: RAN4 performance requirements depending on the DRS transmission window size, e.g., RRM, will assume a DRS transmission window size of 5 ms</w:t>
      </w:r>
    </w:p>
    <w:p>
      <w:pPr>
        <w:keepNext w:val="0"/>
        <w:keepLines w:val="0"/>
        <w:pageBreakBefore w:val="0"/>
        <w:kinsoku/>
        <w:wordWrap/>
        <w:overflowPunct/>
        <w:topLinePunct w:val="0"/>
        <w:bidi w:val="0"/>
        <w:snapToGrid/>
        <w:spacing w:before="137" w:beforeLines="50" w:after="0" w:line="240" w:lineRule="auto"/>
        <w:jc w:val="both"/>
        <w:textAlignment w:val="auto"/>
        <w:outlineLvl w:val="9"/>
        <w:rPr>
          <w:i w:val="0"/>
          <w:iCs w:val="0"/>
          <w:sz w:val="20"/>
          <w:szCs w:val="20"/>
          <w:highlight w:val="green"/>
        </w:rPr>
      </w:pPr>
      <w:r>
        <w:rPr>
          <w:i w:val="0"/>
          <w:iCs w:val="0"/>
          <w:sz w:val="20"/>
          <w:szCs w:val="20"/>
          <w:highlight w:val="green"/>
        </w:rPr>
        <w:t>Agreement:</w:t>
      </w:r>
    </w:p>
    <w:p>
      <w:pPr>
        <w:keepNext w:val="0"/>
        <w:keepLines w:val="0"/>
        <w:pageBreakBefore w:val="0"/>
        <w:kinsoku/>
        <w:wordWrap/>
        <w:overflowPunct/>
        <w:topLinePunct w:val="0"/>
        <w:bidi w:val="0"/>
        <w:snapToGrid/>
        <w:spacing w:after="0" w:line="240" w:lineRule="auto"/>
        <w:jc w:val="both"/>
        <w:textAlignment w:val="auto"/>
        <w:outlineLvl w:val="9"/>
        <w:rPr>
          <w:i/>
          <w:iCs/>
        </w:rPr>
      </w:pPr>
      <w:r>
        <w:rPr>
          <w:i/>
          <w:iCs/>
        </w:rPr>
        <w:t>The ssb-PositionsInBurst IE is configured as in Rel-15 NR</w:t>
      </w:r>
    </w:p>
    <w:p>
      <w:pPr>
        <w:pStyle w:val="124"/>
        <w:numPr>
          <w:ilvl w:val="0"/>
          <w:numId w:val="16"/>
        </w:numPr>
        <w:overflowPunct/>
        <w:autoSpaceDE/>
        <w:autoSpaceDN/>
        <w:adjustRightInd/>
        <w:spacing w:after="0"/>
        <w:jc w:val="both"/>
        <w:textAlignment w:val="auto"/>
        <w:rPr>
          <w:i/>
          <w:iCs/>
          <w:lang w:val="en-US"/>
        </w:rPr>
      </w:pPr>
      <w:r>
        <w:rPr>
          <w:i/>
          <w:iCs/>
        </w:rPr>
        <w:t>FFS: Interpretation of the field for NR-U</w:t>
      </w:r>
    </w:p>
    <w:p>
      <w:pPr>
        <w:widowControl w:val="0"/>
        <w:autoSpaceDE w:val="0"/>
        <w:autoSpaceDN w:val="0"/>
        <w:adjustRightInd w:val="0"/>
        <w:spacing w:before="180" w:line="240" w:lineRule="auto"/>
        <w:jc w:val="both"/>
        <w:rPr>
          <w:rFonts w:hint="eastAsia" w:eastAsia="宋体"/>
          <w:i w:val="0"/>
          <w:iCs w:val="0"/>
          <w:lang w:val="en-US" w:eastAsia="zh-CN"/>
        </w:rPr>
      </w:pPr>
      <w:r>
        <w:rPr>
          <w:rFonts w:hint="eastAsia" w:eastAsia="宋体"/>
          <w:i w:val="0"/>
          <w:iCs w:val="0"/>
          <w:lang w:val="en-US" w:eastAsia="zh-CN"/>
        </w:rPr>
        <w:t>In this contribution, we will share our views on remaining issues of enhancements of initial access procedures for NR-U, including the transmission of SS/PBCH block (DRS), RRM/RLM and RACH procedure.</w:t>
      </w:r>
    </w:p>
    <w:p>
      <w:pPr>
        <w:pStyle w:val="2"/>
        <w:keepNext/>
        <w:keepLines/>
        <w:pageBreakBefore w:val="0"/>
        <w:widowControl/>
        <w:kinsoku/>
        <w:wordWrap/>
        <w:overflowPunct/>
        <w:topLinePunct w:val="0"/>
        <w:autoSpaceDE/>
        <w:autoSpaceDN/>
        <w:bidi w:val="0"/>
        <w:adjustRightInd/>
        <w:snapToGrid/>
        <w:spacing w:before="260" w:line="260" w:lineRule="auto"/>
        <w:ind w:left="448" w:hanging="448"/>
        <w:jc w:val="both"/>
        <w:textAlignment w:val="auto"/>
        <w:outlineLvl w:val="0"/>
        <w:rPr>
          <w:rFonts w:eastAsia="宋体" w:cs="Arial"/>
          <w:b/>
          <w:sz w:val="28"/>
          <w:szCs w:val="28"/>
          <w:lang w:val="en-US" w:eastAsia="zh-CN"/>
        </w:rPr>
      </w:pPr>
      <w:r>
        <w:rPr>
          <w:rFonts w:hint="eastAsia" w:eastAsia="宋体" w:cs="Arial"/>
          <w:b/>
          <w:sz w:val="28"/>
          <w:szCs w:val="28"/>
          <w:lang w:val="en-US" w:eastAsia="zh-CN"/>
        </w:rPr>
        <w:t xml:space="preserve"> SS/PBCH block</w:t>
      </w:r>
    </w:p>
    <w:p>
      <w:pPr>
        <w:pStyle w:val="3"/>
        <w:keepNext/>
        <w:keepLines/>
        <w:pageBreakBefore w:val="0"/>
        <w:widowControl/>
        <w:numPr>
          <w:ilvl w:val="255"/>
          <w:numId w:val="0"/>
        </w:numPr>
        <w:kinsoku/>
        <w:wordWrap/>
        <w:overflowPunct/>
        <w:topLinePunct w:val="0"/>
        <w:autoSpaceDE/>
        <w:autoSpaceDN/>
        <w:bidi w:val="0"/>
        <w:adjustRightInd/>
        <w:snapToGrid/>
        <w:spacing w:before="300" w:after="180" w:line="260" w:lineRule="auto"/>
        <w:jc w:val="both"/>
        <w:textAlignment w:val="auto"/>
        <w:outlineLvl w:val="1"/>
        <w:rPr>
          <w:rFonts w:hint="default" w:ascii="Times New Roman" w:hAnsi="Times New Roman" w:eastAsia="Times New Roman" w:cs="Times New Roman"/>
          <w:b/>
          <w:bCs w:val="0"/>
          <w:sz w:val="24"/>
          <w:szCs w:val="24"/>
          <w:lang w:val="en-US" w:eastAsia="zh-CN"/>
        </w:rPr>
      </w:pPr>
      <w:r>
        <w:rPr>
          <w:rFonts w:hint="eastAsia" w:ascii="Times New Roman" w:hAnsi="Times New Roman" w:eastAsia="Times New Roman" w:cs="Times New Roman"/>
          <w:b/>
          <w:bCs w:val="0"/>
          <w:sz w:val="24"/>
          <w:szCs w:val="24"/>
          <w:lang w:val="en-US" w:eastAsia="zh-CN"/>
        </w:rPr>
        <w:t>2.1 I</w:t>
      </w:r>
      <w:r>
        <w:rPr>
          <w:rFonts w:hint="eastAsia" w:ascii="Times New Roman" w:hAnsi="Times New Roman" w:cs="Times New Roman"/>
          <w:b/>
          <w:bCs w:val="0"/>
          <w:sz w:val="24"/>
          <w:szCs w:val="24"/>
          <w:lang w:val="en-US" w:eastAsia="zh-CN"/>
        </w:rPr>
        <w:t>ndication of Q</w:t>
      </w:r>
    </w:p>
    <w:p>
      <w:pPr>
        <w:numPr>
          <w:ilvl w:val="-1"/>
          <w:numId w:val="0"/>
        </w:numPr>
        <w:spacing w:after="180" w:line="259" w:lineRule="auto"/>
        <w:ind w:left="0" w:firstLine="0"/>
        <w:jc w:val="both"/>
        <w:rPr>
          <w:rFonts w:hint="eastAsia" w:eastAsia="宋体"/>
          <w:i w:val="0"/>
          <w:iCs w:val="0"/>
          <w:highlight w:val="none"/>
          <w:lang w:val="en-US" w:eastAsia="zh-CN"/>
        </w:rPr>
      </w:pPr>
      <w:r>
        <w:rPr>
          <w:rFonts w:hint="eastAsia" w:eastAsia="宋体"/>
          <w:bCs/>
          <w:lang w:val="en-US" w:eastAsia="zh-CN"/>
        </w:rPr>
        <w:t xml:space="preserve">At RAN1 #98 meeting, RAN1 has agreed that if </w:t>
      </w:r>
      <w:r>
        <w:rPr>
          <w:i w:val="0"/>
          <w:iCs w:val="0"/>
          <w:lang w:eastAsia="zh-CN"/>
        </w:rPr>
        <w:t xml:space="preserve">2 bits can be found to not be necessary in the current MIB, then </w:t>
      </w:r>
      <w:r>
        <w:rPr>
          <w:rFonts w:hint="eastAsia"/>
          <w:i w:val="0"/>
          <w:iCs w:val="0"/>
          <w:lang w:val="en-US" w:eastAsia="zh-CN"/>
        </w:rPr>
        <w:t>p</w:t>
      </w:r>
      <w:r>
        <w:rPr>
          <w:i w:val="0"/>
          <w:iCs w:val="0"/>
          <w:lang w:eastAsia="zh-CN"/>
        </w:rPr>
        <w:t>arameter Q is indicated in the MIB by a serving cell. Otherwise, Q is indicated in the RMSI.</w:t>
      </w:r>
      <w:r>
        <w:rPr>
          <w:rFonts w:hint="eastAsia"/>
          <w:i w:val="0"/>
          <w:iCs w:val="0"/>
          <w:lang w:val="en-US" w:eastAsia="zh-CN"/>
        </w:rPr>
        <w:t xml:space="preserve"> </w:t>
      </w:r>
      <w:r>
        <w:rPr>
          <w:rFonts w:hint="eastAsia" w:eastAsia="宋体"/>
          <w:i w:val="0"/>
          <w:iCs w:val="0"/>
          <w:highlight w:val="none"/>
          <w:lang w:val="en-US" w:eastAsia="zh-CN"/>
        </w:rPr>
        <w:t>However, so far, there is no sufficient reason to prove the need for obtaining the value of Q in MIB before decoding RMSI. Furthermore, at present there is only one spare bit in MIB, and all other bits in it have special meanings. Considering MIB in NR-U should be as consistent as possible with Rel-15 MIB to avoid confusion, these bits in MIB are not suitable for other purposes. After Rel-16, NR-U may further evolve to support higher frequency and more beams. That means Q can take more possible values. In this case, it is difficult for MIB to find more available bits to inform Q. On the contrary, RMSI has enough flexibility for the addition of two or more bits to indicate parameter Q. So we think it is more appropriate for RMSI instead of MIB to carry parameter Q.</w:t>
      </w:r>
    </w:p>
    <w:p>
      <w:pPr>
        <w:numPr>
          <w:ilvl w:val="-1"/>
          <w:numId w:val="0"/>
        </w:numPr>
        <w:spacing w:after="180" w:line="259" w:lineRule="auto"/>
        <w:ind w:left="0" w:firstLine="0"/>
        <w:jc w:val="both"/>
        <w:rPr>
          <w:rFonts w:hint="eastAsia" w:eastAsia="宋体"/>
          <w:i/>
          <w:iCs/>
          <w:highlight w:val="none"/>
          <w:lang w:val="en-US" w:eastAsia="zh-CN"/>
        </w:rPr>
      </w:pPr>
      <w:r>
        <w:rPr>
          <w:b/>
          <w:snapToGrid w:val="0"/>
          <w:highlight w:val="none"/>
        </w:rPr>
        <w:t xml:space="preserve">Proposal </w:t>
      </w:r>
      <w:r>
        <w:rPr>
          <w:b/>
          <w:snapToGrid w:val="0"/>
          <w:highlight w:val="none"/>
        </w:rPr>
        <w:fldChar w:fldCharType="begin"/>
      </w:r>
      <w:r>
        <w:rPr>
          <w:b/>
          <w:snapToGrid w:val="0"/>
          <w:highlight w:val="none"/>
        </w:rPr>
        <w:instrText xml:space="preserve"> seq prop </w:instrText>
      </w:r>
      <w:r>
        <w:rPr>
          <w:b/>
          <w:snapToGrid w:val="0"/>
          <w:highlight w:val="none"/>
        </w:rPr>
        <w:fldChar w:fldCharType="separate"/>
      </w:r>
      <w:r>
        <w:rPr>
          <w:rFonts w:hint="eastAsia" w:eastAsia="宋体"/>
          <w:b/>
          <w:snapToGrid w:val="0"/>
          <w:highlight w:val="none"/>
          <w:lang w:val="en-US" w:eastAsia="zh-CN"/>
        </w:rPr>
        <w:t>1</w:t>
      </w:r>
      <w:r>
        <w:rPr>
          <w:b/>
          <w:snapToGrid w:val="0"/>
          <w:highlight w:val="none"/>
        </w:rPr>
        <w:fldChar w:fldCharType="end"/>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In NR-U, RMSI is preferred for carrying parameter Q</w:t>
      </w:r>
      <w:r>
        <w:rPr>
          <w:rFonts w:hint="eastAsia" w:eastAsia="宋体"/>
          <w:i/>
          <w:iCs/>
          <w:highlight w:val="none"/>
          <w:lang w:val="en-US" w:eastAsia="zh-CN"/>
        </w:rPr>
        <w:t>.</w:t>
      </w:r>
    </w:p>
    <w:p>
      <w:pPr>
        <w:pStyle w:val="3"/>
        <w:keepNext/>
        <w:keepLines/>
        <w:pageBreakBefore w:val="0"/>
        <w:widowControl/>
        <w:numPr>
          <w:ilvl w:val="255"/>
          <w:numId w:val="0"/>
        </w:numPr>
        <w:kinsoku/>
        <w:wordWrap/>
        <w:overflowPunct/>
        <w:topLinePunct w:val="0"/>
        <w:autoSpaceDE/>
        <w:autoSpaceDN/>
        <w:bidi w:val="0"/>
        <w:adjustRightInd/>
        <w:snapToGrid/>
        <w:spacing w:before="300" w:after="180" w:line="260" w:lineRule="auto"/>
        <w:jc w:val="both"/>
        <w:textAlignment w:val="auto"/>
        <w:outlineLvl w:val="1"/>
        <w:rPr>
          <w:rFonts w:hint="default" w:ascii="Times New Roman" w:hAnsi="Times New Roman" w:eastAsia="Times New Roman" w:cs="Times New Roman"/>
          <w:b/>
          <w:bCs w:val="0"/>
          <w:sz w:val="24"/>
          <w:szCs w:val="24"/>
          <w:lang w:val="en-US" w:eastAsia="zh-CN"/>
        </w:rPr>
      </w:pPr>
      <w:r>
        <w:rPr>
          <w:rFonts w:hint="eastAsia" w:ascii="Times New Roman" w:hAnsi="Times New Roman" w:cs="Times New Roman"/>
          <w:b/>
          <w:bCs w:val="0"/>
          <w:sz w:val="24"/>
          <w:szCs w:val="24"/>
          <w:lang w:val="en-US" w:eastAsia="zh-CN"/>
        </w:rPr>
        <w:t xml:space="preserve">2.2 </w:t>
      </w:r>
      <w:r>
        <w:rPr>
          <w:rFonts w:hint="default" w:ascii="Times New Roman" w:hAnsi="Times New Roman" w:eastAsia="Times New Roman" w:cs="Times New Roman"/>
          <w:b/>
          <w:bCs w:val="0"/>
          <w:sz w:val="24"/>
          <w:szCs w:val="24"/>
          <w:lang w:val="en-US" w:eastAsia="zh-CN"/>
        </w:rPr>
        <w:t>Indication of actually transmitted SSBs</w:t>
      </w:r>
    </w:p>
    <w:p>
      <w:pPr>
        <w:numPr>
          <w:ilvl w:val="-1"/>
          <w:numId w:val="0"/>
        </w:numPr>
        <w:spacing w:after="180" w:line="259" w:lineRule="auto"/>
        <w:ind w:left="0" w:firstLine="0"/>
        <w:jc w:val="both"/>
        <w:rPr>
          <w:rFonts w:hint="default" w:eastAsia="宋体"/>
          <w:b/>
          <w:bCs/>
          <w:i w:val="0"/>
          <w:iCs w:val="0"/>
          <w:lang w:val="en-US" w:eastAsia="zh-CN"/>
        </w:rPr>
      </w:pPr>
      <w:r>
        <w:rPr>
          <w:rFonts w:hint="default" w:eastAsia="宋体"/>
          <w:i w:val="0"/>
          <w:iCs w:val="0"/>
          <w:lang w:val="en-US" w:eastAsia="zh-CN"/>
        </w:rPr>
        <w:t>In RAN1 #98bis meeting, RAN1</w:t>
      </w:r>
      <w:r>
        <w:rPr>
          <w:rFonts w:hint="eastAsia" w:eastAsia="宋体"/>
          <w:i w:val="0"/>
          <w:iCs w:val="0"/>
          <w:lang w:val="en-US" w:eastAsia="zh-CN"/>
        </w:rPr>
        <w:t xml:space="preserve"> has</w:t>
      </w:r>
      <w:r>
        <w:rPr>
          <w:rFonts w:hint="default" w:eastAsia="宋体"/>
          <w:i w:val="0"/>
          <w:iCs w:val="0"/>
          <w:lang w:val="en-US" w:eastAsia="zh-CN"/>
        </w:rPr>
        <w:t xml:space="preserve"> agreed that the </w:t>
      </w:r>
      <w:r>
        <w:rPr>
          <w:rFonts w:hint="default" w:eastAsia="宋体"/>
          <w:i/>
          <w:iCs/>
          <w:lang w:val="en-US" w:eastAsia="zh-CN"/>
        </w:rPr>
        <w:t>ssb-PositionsInBurst</w:t>
      </w:r>
      <w:r>
        <w:rPr>
          <w:rFonts w:hint="default" w:eastAsia="宋体"/>
          <w:i w:val="0"/>
          <w:iCs w:val="0"/>
          <w:lang w:val="en-US" w:eastAsia="zh-CN"/>
        </w:rPr>
        <w:t xml:space="preserve"> IE </w:t>
      </w:r>
      <w:r>
        <w:rPr>
          <w:rFonts w:hint="eastAsia" w:eastAsia="宋体"/>
          <w:i w:val="0"/>
          <w:iCs w:val="0"/>
          <w:lang w:val="en-US" w:eastAsia="zh-CN"/>
        </w:rPr>
        <w:t xml:space="preserve">in NR-U </w:t>
      </w:r>
      <w:r>
        <w:rPr>
          <w:rFonts w:hint="default" w:eastAsia="宋体"/>
          <w:i w:val="0"/>
          <w:iCs w:val="0"/>
          <w:lang w:val="en-US" w:eastAsia="zh-CN"/>
        </w:rPr>
        <w:t>is configured as in Rel-15 NR.</w:t>
      </w:r>
      <w:r>
        <w:rPr>
          <w:rFonts w:hint="eastAsia" w:eastAsia="宋体"/>
          <w:i w:val="0"/>
          <w:iCs w:val="0"/>
          <w:lang w:val="en-US" w:eastAsia="zh-CN"/>
        </w:rPr>
        <w:t xml:space="preserve"> The existing</w:t>
      </w:r>
      <w:r>
        <w:rPr>
          <w:rFonts w:hint="eastAsia" w:eastAsia="宋体"/>
          <w:i/>
          <w:iCs/>
          <w:lang w:val="en-US" w:eastAsia="zh-CN"/>
        </w:rPr>
        <w:t xml:space="preserve">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in Rel-15 NR is defined in TS 38.331 as follows. Since 5 GHz unlicensed band for NR-U drops in FR1 larger than 3 GHz, only </w:t>
      </w:r>
      <w:r>
        <w:rPr>
          <w:rFonts w:hint="eastAsia" w:eastAsia="宋体"/>
          <w:i/>
          <w:iCs/>
          <w:lang w:val="en-US" w:eastAsia="zh-CN"/>
        </w:rPr>
        <w:t>mediumBitmap</w:t>
      </w:r>
      <w:r>
        <w:rPr>
          <w:rFonts w:hint="eastAsia" w:eastAsia="宋体"/>
          <w:i w:val="0"/>
          <w:iCs w:val="0"/>
          <w:lang w:val="en-US" w:eastAsia="zh-CN"/>
        </w:rPr>
        <w:t xml:space="preserve"> with 8 bits string in</w:t>
      </w:r>
      <w:r>
        <w:rPr>
          <w:rFonts w:hint="eastAsia" w:eastAsia="宋体"/>
          <w:i/>
          <w:iCs/>
          <w:lang w:val="en-US" w:eastAsia="zh-CN"/>
        </w:rPr>
        <w:t xml:space="preserve">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can apply to Rel-16 NR-U.</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ssb-PositionsInBurst                CHOICE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shortBitmap                         BIT STRING (SIZE (4)),</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mediumBitmap                        BIT STRING (SIZE (8)),</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longBitmap                          BI</w:t>
      </w:r>
      <w:bookmarkStart w:id="10" w:name="_GoBack"/>
      <w:bookmarkEnd w:id="10"/>
      <w:r>
        <w:rPr>
          <w:rFonts w:ascii="Courier New" w:hAnsi="Courier New" w:eastAsia="Times New Roman" w:cs="Times New Roman"/>
          <w:sz w:val="16"/>
          <w:lang w:val="en-GB" w:eastAsia="en-GB" w:bidi="ar-SA"/>
        </w:rPr>
        <w:t>T STRING (SIZE (64))</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137" w:afterLines="5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pStyle w:val="64"/>
              <w:pageBreakBefore w:val="0"/>
              <w:widowControl/>
              <w:kinsoku/>
              <w:wordWrap/>
              <w:overflowPunct/>
              <w:topLinePunct w:val="0"/>
              <w:autoSpaceDE/>
              <w:autoSpaceDN/>
              <w:bidi w:val="0"/>
              <w:adjustRightInd/>
              <w:snapToGrid/>
              <w:spacing w:after="0" w:line="260" w:lineRule="auto"/>
              <w:textAlignment w:val="auto"/>
              <w:outlineLvl w:val="9"/>
              <w:rPr>
                <w:szCs w:val="22"/>
                <w:lang w:val="en-GB" w:eastAsia="ja-JP"/>
              </w:rPr>
            </w:pPr>
            <w:r>
              <w:rPr>
                <w:b/>
                <w:i/>
                <w:szCs w:val="22"/>
                <w:lang w:val="en-GB" w:eastAsia="ja-JP"/>
              </w:rPr>
              <w:t>mediumBitmap</w:t>
            </w:r>
          </w:p>
          <w:p>
            <w:pPr>
              <w:pageBreakBefore w:val="0"/>
              <w:widowControl/>
              <w:numPr>
                <w:ilvl w:val="-1"/>
                <w:numId w:val="0"/>
              </w:numPr>
              <w:kinsoku/>
              <w:wordWrap/>
              <w:overflowPunct/>
              <w:topLinePunct w:val="0"/>
              <w:autoSpaceDE/>
              <w:autoSpaceDN/>
              <w:bidi w:val="0"/>
              <w:adjustRightInd/>
              <w:snapToGrid/>
              <w:spacing w:after="0" w:line="260" w:lineRule="auto"/>
              <w:ind w:left="0" w:firstLine="0"/>
              <w:jc w:val="both"/>
              <w:textAlignment w:val="auto"/>
              <w:outlineLvl w:val="9"/>
              <w:rPr>
                <w:b/>
                <w:i/>
                <w:szCs w:val="22"/>
                <w:vertAlign w:val="baseline"/>
                <w:lang w:val="en-GB" w:eastAsia="ja-JP"/>
              </w:rPr>
            </w:pPr>
            <w:r>
              <w:rPr>
                <w:szCs w:val="22"/>
                <w:lang w:val="en-GB" w:eastAsia="ja-JP"/>
              </w:rPr>
              <w:t>Bitmap when maximum number of SS/PBCH blocks per half frame equals to 8 as defined in TS 38.213 [13], clause 4.1.</w:t>
            </w:r>
          </w:p>
        </w:tc>
      </w:tr>
    </w:tbl>
    <w:p>
      <w:pPr>
        <w:numPr>
          <w:ilvl w:val="-1"/>
          <w:numId w:val="0"/>
        </w:numPr>
        <w:spacing w:before="137" w:beforeLines="50" w:after="180" w:line="260" w:lineRule="auto"/>
        <w:ind w:left="0" w:firstLine="0"/>
        <w:jc w:val="both"/>
        <w:rPr>
          <w:rFonts w:hint="default" w:eastAsia="宋体"/>
          <w:lang w:val="en-US" w:eastAsia="zh-CN"/>
        </w:rPr>
      </w:pPr>
      <w:r>
        <w:rPr>
          <w:rFonts w:hint="eastAsia" w:eastAsia="宋体"/>
          <w:i w:val="0"/>
          <w:iCs w:val="0"/>
          <w:lang w:val="en-US" w:eastAsia="zh-CN"/>
        </w:rPr>
        <w:t xml:space="preserve">Actually transmitted SSB transmission is also decided by LBT results in NR-U.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is a semi-static configuration, which can not dynamically indicate instantaneous SSB transmission results. Furthermore, 8 bits bitmap in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is also not enough to indicate whether the SSB is actually sent at the candidate positions (10 for 15 kHz and 20 for 30 kHz). Thus, we agree that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is used to indicate beam indices</w:t>
      </w:r>
      <w:r>
        <w:t xml:space="preserve"> (</w:t>
      </w:r>
      <w:r>
        <w:rPr>
          <w:rFonts w:hint="eastAsia" w:eastAsia="宋体"/>
          <w:lang w:val="en-US" w:eastAsia="zh-CN"/>
        </w:rPr>
        <w:t xml:space="preserve">one beam corresponds to </w:t>
      </w:r>
      <w:r>
        <w:t>a set of SSBs with same QCL)</w:t>
      </w:r>
      <w:r>
        <w:rPr>
          <w:rFonts w:hint="eastAsia" w:eastAsia="宋体"/>
          <w:lang w:val="en-US" w:eastAsia="zh-CN"/>
        </w:rPr>
        <w:t xml:space="preserve">. If a bit in </w:t>
      </w:r>
      <w:r>
        <w:rPr>
          <w:rFonts w:hint="default" w:eastAsia="宋体"/>
          <w:i/>
          <w:iCs/>
          <w:lang w:val="en-US" w:eastAsia="zh-CN"/>
        </w:rPr>
        <w:t>ssb-PositionsInBurst</w:t>
      </w:r>
      <w:r>
        <w:rPr>
          <w:rFonts w:hint="default" w:eastAsia="宋体"/>
          <w:i w:val="0"/>
          <w:iCs w:val="0"/>
          <w:lang w:val="en-US" w:eastAsia="zh-CN"/>
        </w:rPr>
        <w:t xml:space="preserve"> IE</w:t>
      </w:r>
      <w:r>
        <w:rPr>
          <w:rFonts w:hint="eastAsia" w:eastAsia="宋体"/>
          <w:i w:val="0"/>
          <w:iCs w:val="0"/>
          <w:lang w:val="en-US" w:eastAsia="zh-CN"/>
        </w:rPr>
        <w:t xml:space="preserve"> </w:t>
      </w:r>
      <w:r>
        <w:rPr>
          <w:rFonts w:hint="eastAsia" w:eastAsia="宋体"/>
          <w:lang w:val="en-US" w:eastAsia="zh-CN"/>
        </w:rPr>
        <w:t xml:space="preserve">corresponding to a beam index is set to 1, it means that SSBs may be sent in all SSB candidate positions with QCL relationship with the beam. UE will </w:t>
      </w:r>
      <w:r>
        <w:rPr>
          <w:szCs w:val="20"/>
        </w:rPr>
        <w:t xml:space="preserve">perform rate-matching for all of SS/PBCH block candidate position indices QCLed with actually </w:t>
      </w:r>
      <w:r>
        <w:rPr>
          <w:rFonts w:hint="eastAsia" w:eastAsia="宋体"/>
          <w:szCs w:val="20"/>
          <w:lang w:val="en-US" w:eastAsia="zh-CN"/>
        </w:rPr>
        <w:t>beam</w:t>
      </w:r>
      <w:r>
        <w:rPr>
          <w:szCs w:val="20"/>
        </w:rPr>
        <w:t xml:space="preserve"> indices that are provided by </w:t>
      </w:r>
      <w:r>
        <w:rPr>
          <w:i/>
          <w:szCs w:val="20"/>
        </w:rPr>
        <w:t>ssb-PositionsInBurst</w:t>
      </w:r>
      <w:r>
        <w:rPr>
          <w:szCs w:val="20"/>
        </w:rPr>
        <w:t xml:space="preserve"> in RMSI</w:t>
      </w:r>
      <w:r>
        <w:rPr>
          <w:rFonts w:hint="eastAsia" w:eastAsia="宋体"/>
          <w:lang w:val="en-US" w:eastAsia="zh-CN"/>
        </w:rPr>
        <w:t xml:space="preserve">. </w:t>
      </w:r>
    </w:p>
    <w:p>
      <w:pPr>
        <w:numPr>
          <w:ilvl w:val="-1"/>
          <w:numId w:val="0"/>
        </w:numPr>
        <w:spacing w:after="180" w:line="259" w:lineRule="auto"/>
        <w:ind w:left="0" w:firstLine="0"/>
        <w:jc w:val="both"/>
        <w:rPr>
          <w:rFonts w:hint="eastAsia" w:eastAsia="宋体"/>
          <w:i/>
          <w:iCs/>
          <w:lang w:val="en-US" w:eastAsia="zh-CN"/>
        </w:rPr>
      </w:pPr>
      <w:r>
        <w:rPr>
          <w:b/>
          <w:snapToGrid w:val="0"/>
          <w:highlight w:val="none"/>
        </w:rPr>
        <w:t xml:space="preserve">Proposal </w:t>
      </w:r>
      <w:r>
        <w:rPr>
          <w:rFonts w:hint="eastAsia" w:eastAsia="宋体"/>
          <w:b/>
          <w:snapToGrid w:val="0"/>
          <w:highlight w:val="none"/>
          <w:lang w:val="en-US" w:eastAsia="zh-CN"/>
        </w:rPr>
        <w:t>2</w:t>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 xml:space="preserve">In NR-U, </w:t>
      </w:r>
      <w:r>
        <w:rPr>
          <w:rFonts w:hint="default" w:eastAsia="宋体"/>
          <w:i/>
          <w:iCs/>
          <w:lang w:val="en-US" w:eastAsia="zh-CN"/>
        </w:rPr>
        <w:t>ssb-PositionsInBurst IE</w:t>
      </w:r>
      <w:r>
        <w:rPr>
          <w:rFonts w:hint="eastAsia" w:eastAsia="宋体"/>
          <w:i/>
          <w:iCs/>
          <w:lang w:val="en-US" w:eastAsia="zh-CN"/>
        </w:rPr>
        <w:t xml:space="preserve"> is used to indicate beam indices</w:t>
      </w:r>
      <w:r>
        <w:rPr>
          <w:i/>
          <w:iCs/>
        </w:rPr>
        <w:t xml:space="preserve"> (</w:t>
      </w:r>
      <w:r>
        <w:rPr>
          <w:rFonts w:hint="eastAsia" w:eastAsia="宋体"/>
          <w:i/>
          <w:iCs/>
          <w:lang w:val="en-US" w:eastAsia="zh-CN"/>
        </w:rPr>
        <w:t xml:space="preserve">one beam corresponds to </w:t>
      </w:r>
      <w:r>
        <w:rPr>
          <w:i/>
          <w:iCs/>
        </w:rPr>
        <w:t>a set of SSBs with same QCL)</w:t>
      </w:r>
      <w:r>
        <w:rPr>
          <w:rFonts w:hint="eastAsia" w:eastAsia="宋体"/>
          <w:i/>
          <w:iCs/>
          <w:lang w:val="en-US" w:eastAsia="zh-CN"/>
        </w:rPr>
        <w:t>.</w:t>
      </w:r>
    </w:p>
    <w:p>
      <w:pPr>
        <w:numPr>
          <w:ilvl w:val="-1"/>
          <w:numId w:val="0"/>
        </w:numPr>
        <w:spacing w:after="180" w:line="259" w:lineRule="auto"/>
        <w:ind w:left="0" w:firstLine="0"/>
        <w:jc w:val="both"/>
        <w:rPr>
          <w:rFonts w:hint="eastAsia" w:eastAsia="宋体"/>
          <w:i/>
          <w:iCs/>
          <w:lang w:val="en-US" w:eastAsia="zh-CN"/>
        </w:rPr>
      </w:pPr>
      <w:r>
        <w:rPr>
          <w:b/>
          <w:snapToGrid w:val="0"/>
          <w:highlight w:val="none"/>
        </w:rPr>
        <w:t xml:space="preserve">Proposal </w:t>
      </w:r>
      <w:r>
        <w:rPr>
          <w:rFonts w:hint="eastAsia" w:eastAsia="宋体"/>
          <w:b/>
          <w:snapToGrid w:val="0"/>
          <w:highlight w:val="none"/>
          <w:lang w:val="en-US" w:eastAsia="zh-CN"/>
        </w:rPr>
        <w:t>3</w:t>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 xml:space="preserve">In NR-U, </w:t>
      </w:r>
      <w:r>
        <w:rPr>
          <w:rFonts w:hint="eastAsia" w:eastAsia="宋体"/>
          <w:i/>
          <w:iCs/>
          <w:lang w:val="en-US" w:eastAsia="zh-CN"/>
        </w:rPr>
        <w:t xml:space="preserve">UE should </w:t>
      </w:r>
      <w:r>
        <w:rPr>
          <w:i/>
          <w:iCs/>
          <w:szCs w:val="20"/>
        </w:rPr>
        <w:t xml:space="preserve">perform rate-matching for all of SS/PBCH block candidate position indices QCLed with actually </w:t>
      </w:r>
      <w:r>
        <w:rPr>
          <w:rFonts w:hint="eastAsia" w:eastAsia="宋体"/>
          <w:i/>
          <w:iCs/>
          <w:szCs w:val="20"/>
          <w:lang w:val="en-US" w:eastAsia="zh-CN"/>
        </w:rPr>
        <w:t>beam</w:t>
      </w:r>
      <w:r>
        <w:rPr>
          <w:i/>
          <w:iCs/>
          <w:szCs w:val="20"/>
        </w:rPr>
        <w:t xml:space="preserve"> indices that are provided by ssb-PositionsInBurst</w:t>
      </w:r>
      <w:r>
        <w:rPr>
          <w:rFonts w:hint="eastAsia" w:eastAsia="宋体"/>
          <w:i/>
          <w:iCs/>
          <w:szCs w:val="20"/>
          <w:lang w:val="en-US" w:eastAsia="zh-CN"/>
        </w:rPr>
        <w:t>.</w:t>
      </w:r>
    </w:p>
    <w:p>
      <w:pPr>
        <w:pStyle w:val="2"/>
        <w:keepNext/>
        <w:keepLines/>
        <w:pageBreakBefore w:val="0"/>
        <w:widowControl/>
        <w:kinsoku/>
        <w:wordWrap/>
        <w:overflowPunct/>
        <w:topLinePunct w:val="0"/>
        <w:autoSpaceDE/>
        <w:autoSpaceDN/>
        <w:bidi w:val="0"/>
        <w:adjustRightInd/>
        <w:snapToGrid/>
        <w:spacing w:before="360" w:line="260" w:lineRule="auto"/>
        <w:ind w:left="448" w:hanging="448"/>
        <w:jc w:val="both"/>
        <w:textAlignment w:val="auto"/>
        <w:outlineLvl w:val="0"/>
        <w:rPr>
          <w:rFonts w:eastAsia="宋体" w:cs="Arial"/>
          <w:b/>
          <w:sz w:val="28"/>
          <w:szCs w:val="28"/>
          <w:lang w:val="en-US" w:eastAsia="zh-CN"/>
        </w:rPr>
      </w:pPr>
      <w:r>
        <w:rPr>
          <w:rFonts w:hint="eastAsia" w:eastAsia="宋体" w:cs="Arial"/>
          <w:b/>
          <w:sz w:val="28"/>
          <w:szCs w:val="28"/>
          <w:lang w:val="en-US" w:eastAsia="zh-CN"/>
        </w:rPr>
        <w:t xml:space="preserve"> RRM/RLM</w:t>
      </w:r>
    </w:p>
    <w:p>
      <w:pPr>
        <w:pStyle w:val="3"/>
        <w:keepNext/>
        <w:keepLines/>
        <w:pageBreakBefore w:val="0"/>
        <w:widowControl/>
        <w:numPr>
          <w:ilvl w:val="255"/>
          <w:numId w:val="0"/>
        </w:numPr>
        <w:kinsoku/>
        <w:wordWrap/>
        <w:overflowPunct/>
        <w:topLinePunct w:val="0"/>
        <w:autoSpaceDE/>
        <w:autoSpaceDN/>
        <w:bidi w:val="0"/>
        <w:adjustRightInd/>
        <w:snapToGrid/>
        <w:spacing w:before="300" w:after="180" w:line="260" w:lineRule="auto"/>
        <w:jc w:val="both"/>
        <w:textAlignment w:val="auto"/>
        <w:outlineLvl w:val="1"/>
        <w:rPr>
          <w:rFonts w:hint="default" w:ascii="Times New Roman" w:hAnsi="Times New Roman" w:eastAsia="Times New Roman" w:cs="Times New Roman"/>
          <w:b/>
          <w:bCs w:val="0"/>
          <w:sz w:val="24"/>
          <w:szCs w:val="24"/>
          <w:lang w:val="en-US" w:eastAsia="zh-CN"/>
        </w:rPr>
      </w:pPr>
      <w:r>
        <w:rPr>
          <w:rFonts w:hint="eastAsia" w:ascii="Times New Roman" w:hAnsi="Times New Roman" w:cs="Times New Roman"/>
          <w:b/>
          <w:bCs w:val="0"/>
          <w:sz w:val="24"/>
          <w:szCs w:val="24"/>
          <w:lang w:val="en-US" w:eastAsia="zh-CN"/>
        </w:rPr>
        <w:t>3</w:t>
      </w:r>
      <w:r>
        <w:rPr>
          <w:rFonts w:hint="eastAsia" w:ascii="Times New Roman" w:hAnsi="Times New Roman" w:eastAsia="Times New Roman" w:cs="Times New Roman"/>
          <w:b/>
          <w:bCs w:val="0"/>
          <w:sz w:val="24"/>
          <w:szCs w:val="24"/>
          <w:lang w:val="en-US" w:eastAsia="zh-CN"/>
        </w:rPr>
        <w:t>.</w:t>
      </w:r>
      <w:r>
        <w:rPr>
          <w:rFonts w:hint="eastAsia" w:ascii="Times New Roman" w:hAnsi="Times New Roman" w:cs="Times New Roman"/>
          <w:b/>
          <w:bCs w:val="0"/>
          <w:sz w:val="24"/>
          <w:szCs w:val="24"/>
          <w:lang w:val="en-US" w:eastAsia="zh-CN"/>
        </w:rPr>
        <w:t>1</w:t>
      </w:r>
      <w:r>
        <w:rPr>
          <w:rFonts w:hint="eastAsia" w:ascii="Times New Roman" w:hAnsi="Times New Roman" w:eastAsia="Times New Roman" w:cs="Times New Roman"/>
          <w:b/>
          <w:bCs w:val="0"/>
          <w:sz w:val="24"/>
          <w:szCs w:val="24"/>
          <w:lang w:val="en-US" w:eastAsia="zh-CN"/>
        </w:rPr>
        <w:t xml:space="preserve"> </w:t>
      </w:r>
      <w:r>
        <w:rPr>
          <w:rFonts w:hint="eastAsia" w:ascii="Times New Roman" w:hAnsi="Times New Roman" w:cs="Times New Roman"/>
          <w:b/>
          <w:bCs w:val="0"/>
          <w:sz w:val="24"/>
          <w:szCs w:val="24"/>
          <w:lang w:val="en-US" w:eastAsia="zh-CN"/>
        </w:rPr>
        <w:t>RSSI measurement</w:t>
      </w:r>
    </w:p>
    <w:p>
      <w:pPr>
        <w:numPr>
          <w:ilvl w:val="-1"/>
          <w:numId w:val="0"/>
        </w:numPr>
        <w:spacing w:after="180" w:line="259" w:lineRule="auto"/>
        <w:ind w:left="0" w:firstLine="0"/>
        <w:jc w:val="both"/>
        <w:rPr>
          <w:rFonts w:hint="eastAsia" w:eastAsia="宋体"/>
          <w:i w:val="0"/>
          <w:iCs w:val="0"/>
          <w:lang w:val="en-US" w:eastAsia="zh-CN"/>
        </w:rPr>
      </w:pPr>
      <w:r>
        <w:rPr>
          <w:rFonts w:hint="default" w:eastAsia="宋体"/>
          <w:i w:val="0"/>
          <w:iCs w:val="0"/>
          <w:lang w:val="en-US" w:eastAsia="zh-CN"/>
        </w:rPr>
        <w:t xml:space="preserve">RSSI and channel occupancy are used to assist the gNB to estimate the interference situation for scheduling and mobility. The accuracy of measurement results of RSSI and channel occupancy has impact on the policy decision of the gNB. RAN1 at last meeting has </w:t>
      </w:r>
      <w:r>
        <w:rPr>
          <w:rFonts w:hint="eastAsia" w:eastAsia="宋体"/>
          <w:i w:val="0"/>
          <w:iCs w:val="0"/>
          <w:lang w:val="en-US" w:eastAsia="zh-CN"/>
        </w:rPr>
        <w:t xml:space="preserve">reached </w:t>
      </w:r>
      <w:r>
        <w:rPr>
          <w:rFonts w:hint="default" w:eastAsia="宋体"/>
          <w:i w:val="0"/>
          <w:iCs w:val="0"/>
          <w:lang w:val="en-US" w:eastAsia="zh-CN"/>
        </w:rPr>
        <w:t>a clear agreement on RSSI measurement timing configuration (RMTC) including time-domain parameters (periodicity, measurement duration and offset) and frequency-domain parameters (measurement bandwidth and ARFCN)</w:t>
      </w:r>
      <w:r>
        <w:rPr>
          <w:rFonts w:hint="eastAsia" w:eastAsia="宋体"/>
          <w:i w:val="0"/>
          <w:iCs w:val="0"/>
          <w:lang w:val="en-US" w:eastAsia="zh-CN"/>
        </w:rPr>
        <w:t xml:space="preserve">. </w:t>
      </w:r>
    </w:p>
    <w:p>
      <w:pPr>
        <w:numPr>
          <w:ilvl w:val="-1"/>
          <w:numId w:val="0"/>
        </w:numPr>
        <w:spacing w:after="180" w:line="259" w:lineRule="auto"/>
        <w:ind w:left="0" w:firstLine="0"/>
        <w:jc w:val="both"/>
        <w:rPr>
          <w:rFonts w:hint="eastAsia" w:eastAsia="宋体"/>
          <w:i w:val="0"/>
          <w:iCs w:val="0"/>
          <w:lang w:val="en-US" w:eastAsia="zh-CN"/>
        </w:rPr>
      </w:pPr>
      <w:r>
        <w:rPr>
          <w:rFonts w:hint="eastAsia" w:eastAsia="宋体"/>
          <w:i w:val="0"/>
          <w:iCs w:val="0"/>
          <w:lang w:val="en-US" w:eastAsia="zh-CN"/>
        </w:rPr>
        <w:t>The time-domain parameters should be reuse LTE-LAA as much as possible (e.g. periodicity with 40/80/160/320/ 640 ms) except for measurement duration that should support more values e.g. 140 OFDM symbols for 30 kHz subcarrier spacing. For frequency-domain parameters, NR-U supports measurement bandwidth at least in units of LBT bandwidths. One remaining issue is that whether to support units other than LBT bandwidths. In our opinion, it doesn't make sense to support smaller units (e.g. RB level) in band n46 unlicensed spectrum since RSSI measurement in NR-U mainly reflects the situation that a whole carrier/subband is occupied or used by intra-/inter-RAT devices, rather than frequency selective information in some REs/RBs. RSSI measurement on a larger carrier can be realized by configuring multiple of LBT bandwidths.</w:t>
      </w:r>
    </w:p>
    <w:p>
      <w:pPr>
        <w:numPr>
          <w:ilvl w:val="-1"/>
          <w:numId w:val="0"/>
        </w:numPr>
        <w:spacing w:after="180" w:line="259" w:lineRule="auto"/>
        <w:ind w:left="0" w:firstLine="0"/>
        <w:jc w:val="both"/>
        <w:rPr>
          <w:rFonts w:hint="default" w:eastAsia="宋体"/>
          <w:i/>
          <w:iCs/>
          <w:lang w:val="en-US" w:eastAsia="zh-CN"/>
        </w:rPr>
      </w:pPr>
      <w:r>
        <w:rPr>
          <w:b/>
          <w:snapToGrid w:val="0"/>
        </w:rPr>
        <w:t xml:space="preserve">Proposal </w:t>
      </w:r>
      <w:r>
        <w:rPr>
          <w:rFonts w:hint="eastAsia" w:eastAsia="宋体"/>
          <w:b/>
          <w:snapToGrid w:val="0"/>
          <w:lang w:val="en-US" w:eastAsia="zh-CN"/>
        </w:rPr>
        <w:t>4</w:t>
      </w:r>
      <w:r>
        <w:rPr>
          <w:b/>
          <w:snapToGrid w:val="0"/>
        </w:rPr>
        <w:t>:</w:t>
      </w:r>
      <w:r>
        <w:rPr>
          <w:b w:val="0"/>
          <w:bCs/>
          <w:i/>
          <w:iCs/>
          <w:snapToGrid w:val="0"/>
        </w:rPr>
        <w:t xml:space="preserve"> </w:t>
      </w:r>
      <w:r>
        <w:rPr>
          <w:rFonts w:hint="eastAsia" w:eastAsia="宋体"/>
          <w:b w:val="0"/>
          <w:bCs/>
          <w:i/>
          <w:iCs/>
          <w:snapToGrid w:val="0"/>
          <w:lang w:val="en-US" w:eastAsia="zh-CN"/>
        </w:rPr>
        <w:t>For NR-U, th</w:t>
      </w:r>
      <w:r>
        <w:rPr>
          <w:rFonts w:hint="eastAsia" w:eastAsia="宋体"/>
          <w:i/>
          <w:iCs/>
          <w:lang w:val="en-US" w:eastAsia="zh-CN"/>
        </w:rPr>
        <w:t>e time-domain parameters should be reuse LTE-LAA as much as possible, except for measurement duration that should support more values e.g. 140 OFDM symbols for 30 kHz subcarrier spacing.</w:t>
      </w:r>
    </w:p>
    <w:p>
      <w:pPr>
        <w:numPr>
          <w:ilvl w:val="-1"/>
          <w:numId w:val="0"/>
        </w:numPr>
        <w:spacing w:after="180" w:line="259" w:lineRule="auto"/>
        <w:ind w:left="0" w:firstLine="0"/>
        <w:jc w:val="both"/>
        <w:rPr>
          <w:rFonts w:hint="default" w:eastAsia="宋体"/>
          <w:i/>
          <w:iCs/>
          <w:lang w:val="en-US" w:eastAsia="zh-CN"/>
        </w:rPr>
      </w:pPr>
      <w:r>
        <w:rPr>
          <w:b/>
          <w:snapToGrid w:val="0"/>
        </w:rPr>
        <w:t xml:space="preserve">Proposal </w:t>
      </w:r>
      <w:r>
        <w:rPr>
          <w:rFonts w:hint="eastAsia" w:eastAsia="宋体"/>
          <w:b/>
          <w:snapToGrid w:val="0"/>
          <w:lang w:val="en-US" w:eastAsia="zh-CN"/>
        </w:rPr>
        <w:t>5</w:t>
      </w:r>
      <w:r>
        <w:rPr>
          <w:b/>
          <w:snapToGrid w:val="0"/>
        </w:rPr>
        <w:t>:</w:t>
      </w:r>
      <w:r>
        <w:rPr>
          <w:b w:val="0"/>
          <w:bCs/>
          <w:i/>
          <w:iCs/>
          <w:snapToGrid w:val="0"/>
        </w:rPr>
        <w:t xml:space="preserve"> </w:t>
      </w:r>
      <w:r>
        <w:rPr>
          <w:rFonts w:hint="eastAsia" w:eastAsia="宋体"/>
          <w:b w:val="0"/>
          <w:bCs/>
          <w:i/>
          <w:iCs/>
          <w:snapToGrid w:val="0"/>
          <w:lang w:val="en-US" w:eastAsia="zh-CN"/>
        </w:rPr>
        <w:t>No need to support units other than LBT  bandwidths for NR-U.</w:t>
      </w:r>
    </w:p>
    <w:p>
      <w:pPr>
        <w:pStyle w:val="3"/>
        <w:keepNext/>
        <w:keepLines/>
        <w:pageBreakBefore w:val="0"/>
        <w:widowControl/>
        <w:numPr>
          <w:ilvl w:val="255"/>
          <w:numId w:val="0"/>
        </w:numPr>
        <w:kinsoku/>
        <w:wordWrap/>
        <w:overflowPunct/>
        <w:topLinePunct w:val="0"/>
        <w:autoSpaceDE/>
        <w:autoSpaceDN/>
        <w:bidi w:val="0"/>
        <w:adjustRightInd/>
        <w:snapToGrid/>
        <w:spacing w:before="300" w:after="180" w:line="260" w:lineRule="auto"/>
        <w:jc w:val="both"/>
        <w:textAlignment w:val="auto"/>
        <w:outlineLvl w:val="1"/>
        <w:rPr>
          <w:rFonts w:hint="default" w:ascii="Times New Roman" w:hAnsi="Times New Roman" w:eastAsia="Times New Roman" w:cs="Times New Roman"/>
          <w:b/>
          <w:bCs w:val="0"/>
          <w:sz w:val="24"/>
          <w:szCs w:val="24"/>
          <w:lang w:val="en-US" w:eastAsia="zh-CN"/>
        </w:rPr>
      </w:pPr>
      <w:r>
        <w:rPr>
          <w:rFonts w:hint="eastAsia" w:ascii="Times New Roman" w:hAnsi="Times New Roman" w:cs="Times New Roman"/>
          <w:b/>
          <w:bCs w:val="0"/>
          <w:sz w:val="24"/>
          <w:szCs w:val="24"/>
          <w:lang w:val="en-US" w:eastAsia="zh-CN"/>
        </w:rPr>
        <w:t>3</w:t>
      </w:r>
      <w:r>
        <w:rPr>
          <w:rFonts w:hint="eastAsia" w:ascii="Times New Roman" w:hAnsi="Times New Roman" w:eastAsia="Times New Roman" w:cs="Times New Roman"/>
          <w:b/>
          <w:bCs w:val="0"/>
          <w:sz w:val="24"/>
          <w:szCs w:val="24"/>
          <w:lang w:val="en-US" w:eastAsia="zh-CN"/>
        </w:rPr>
        <w:t>.</w:t>
      </w:r>
      <w:r>
        <w:rPr>
          <w:rFonts w:hint="eastAsia" w:ascii="Times New Roman" w:hAnsi="Times New Roman" w:cs="Times New Roman"/>
          <w:b/>
          <w:bCs w:val="0"/>
          <w:sz w:val="24"/>
          <w:szCs w:val="24"/>
          <w:lang w:val="en-US" w:eastAsia="zh-CN"/>
        </w:rPr>
        <w:t>2</w:t>
      </w:r>
      <w:r>
        <w:rPr>
          <w:rFonts w:hint="eastAsia" w:ascii="Times New Roman" w:hAnsi="Times New Roman" w:eastAsia="Times New Roman" w:cs="Times New Roman"/>
          <w:b/>
          <w:bCs w:val="0"/>
          <w:sz w:val="24"/>
          <w:szCs w:val="24"/>
          <w:lang w:val="en-US" w:eastAsia="zh-CN"/>
        </w:rPr>
        <w:t xml:space="preserve"> </w:t>
      </w:r>
      <w:r>
        <w:rPr>
          <w:rFonts w:hint="eastAsia" w:ascii="Times New Roman" w:hAnsi="Times New Roman" w:cs="Times New Roman"/>
          <w:b/>
          <w:bCs w:val="0"/>
          <w:sz w:val="24"/>
          <w:szCs w:val="24"/>
          <w:lang w:val="en-US" w:eastAsia="zh-CN"/>
        </w:rPr>
        <w:t>RLM</w:t>
      </w:r>
    </w:p>
    <w:p>
      <w:pPr>
        <w:spacing w:line="240" w:lineRule="auto"/>
        <w:ind w:left="0" w:leftChars="0" w:firstLine="0" w:firstLineChars="0"/>
        <w:jc w:val="both"/>
        <w:rPr>
          <w:rFonts w:hint="default" w:eastAsia="宋体"/>
          <w:lang w:val="en-US" w:eastAsia="zh-CN"/>
        </w:rPr>
      </w:pPr>
      <w:r>
        <w:rPr>
          <w:rFonts w:hint="eastAsia" w:eastAsia="宋体"/>
          <w:lang w:val="en-US" w:eastAsia="zh-CN"/>
        </w:rPr>
        <w:t xml:space="preserve">When </w:t>
      </w:r>
      <w:r>
        <w:rPr>
          <w:rFonts w:eastAsia="宋体"/>
          <w:lang w:val="en-US" w:eastAsia="zh-CN"/>
        </w:rPr>
        <w:t xml:space="preserve">the channel is heavily loaded, DL </w:t>
      </w:r>
      <w:r>
        <w:rPr>
          <w:rFonts w:hint="eastAsia" w:eastAsia="宋体"/>
          <w:lang w:val="en-US" w:eastAsia="zh-CN"/>
        </w:rPr>
        <w:t>LBT failure</w:t>
      </w:r>
      <w:r>
        <w:rPr>
          <w:rFonts w:eastAsia="宋体"/>
          <w:lang w:val="en-US" w:eastAsia="zh-CN"/>
        </w:rPr>
        <w:t>s</w:t>
      </w:r>
      <w:r>
        <w:rPr>
          <w:rFonts w:hint="eastAsia" w:eastAsia="宋体"/>
          <w:lang w:val="en-US" w:eastAsia="zh-CN"/>
        </w:rPr>
        <w:t xml:space="preserve"> happen </w:t>
      </w:r>
      <w:r>
        <w:rPr>
          <w:rFonts w:eastAsia="宋体"/>
          <w:lang w:val="en-US" w:eastAsia="zh-CN"/>
        </w:rPr>
        <w:t>with very high probability</w:t>
      </w:r>
      <w:r>
        <w:rPr>
          <w:rFonts w:hint="eastAsia" w:eastAsia="宋体"/>
          <w:lang w:val="en-US" w:eastAsia="zh-CN"/>
        </w:rPr>
        <w:t>. In this case, gNB can</w:t>
      </w:r>
      <w:r>
        <w:rPr>
          <w:rFonts w:eastAsia="宋体"/>
          <w:lang w:val="en-US" w:eastAsia="zh-CN"/>
        </w:rPr>
        <w:t xml:space="preserve">not </w:t>
      </w:r>
      <w:r>
        <w:rPr>
          <w:rFonts w:hint="eastAsia" w:eastAsia="宋体"/>
          <w:lang w:val="en-US" w:eastAsia="zh-CN"/>
        </w:rPr>
        <w:t>ensure the service quality for UE</w:t>
      </w:r>
      <w:r>
        <w:rPr>
          <w:rFonts w:eastAsia="宋体"/>
          <w:lang w:val="en-US" w:eastAsia="zh-CN"/>
        </w:rPr>
        <w:t xml:space="preserve">. Hence, a mechanism to trigger RLF is necessary to avoid the UE being stuck on a problematic frequency for a prolonged period. </w:t>
      </w:r>
      <w:r>
        <w:rPr>
          <w:rFonts w:hint="eastAsia" w:eastAsia="宋体"/>
          <w:lang w:val="en-US" w:eastAsia="zh-CN"/>
        </w:rPr>
        <w:t>Furthermore, if UE considers the DL LBT failure as OOS, the unnecessary RLF increases.</w:t>
      </w:r>
    </w:p>
    <w:p>
      <w:pPr>
        <w:spacing w:line="240" w:lineRule="auto"/>
        <w:ind w:left="0" w:leftChars="0" w:firstLine="0" w:firstLineChars="0"/>
        <w:jc w:val="both"/>
        <w:rPr>
          <w:rFonts w:eastAsia="宋体"/>
          <w:lang w:val="en-US" w:eastAsia="zh-CN"/>
        </w:rPr>
      </w:pPr>
      <w:r>
        <w:rPr>
          <w:rFonts w:hint="eastAsia" w:eastAsia="宋体"/>
          <w:lang w:val="en-US" w:eastAsia="zh-CN"/>
        </w:rPr>
        <w:t>UE can distinguish LBT failure</w:t>
      </w:r>
      <w:r>
        <w:rPr>
          <w:rFonts w:eastAsia="宋体"/>
          <w:lang w:val="en-US" w:eastAsia="zh-CN"/>
        </w:rPr>
        <w:t>s</w:t>
      </w:r>
      <w:r>
        <w:rPr>
          <w:rFonts w:hint="eastAsia" w:eastAsia="宋体"/>
          <w:lang w:val="en-US" w:eastAsia="zh-CN"/>
        </w:rPr>
        <w:t xml:space="preserve"> </w:t>
      </w:r>
      <w:r>
        <w:rPr>
          <w:rFonts w:eastAsia="宋体"/>
          <w:lang w:val="en-US" w:eastAsia="zh-CN"/>
        </w:rPr>
        <w:t>from poor channel quality condition</w:t>
      </w:r>
      <w:r>
        <w:rPr>
          <w:rFonts w:hint="eastAsia" w:eastAsia="宋体"/>
          <w:lang w:val="en-US" w:eastAsia="zh-CN"/>
        </w:rPr>
        <w:t xml:space="preserve">, so </w:t>
      </w:r>
      <w:r>
        <w:rPr>
          <w:szCs w:val="20"/>
        </w:rPr>
        <w:t>a third indicator</w:t>
      </w:r>
      <w:r>
        <w:rPr>
          <w:rFonts w:hint="eastAsia"/>
          <w:szCs w:val="20"/>
          <w:lang w:val="en-US" w:eastAsia="zh-CN"/>
        </w:rPr>
        <w:t xml:space="preserve"> can be indicated </w:t>
      </w:r>
      <w:r>
        <w:rPr>
          <w:szCs w:val="20"/>
        </w:rPr>
        <w:t>to higher layer</w:t>
      </w:r>
      <w:r>
        <w:rPr>
          <w:rFonts w:hint="eastAsia"/>
          <w:szCs w:val="20"/>
          <w:lang w:val="en-US" w:eastAsia="zh-CN"/>
        </w:rPr>
        <w:t xml:space="preserve"> </w:t>
      </w:r>
      <w:r>
        <w:rPr>
          <w:szCs w:val="20"/>
        </w:rPr>
        <w:t>in addition to IS and OOS</w:t>
      </w:r>
      <w:r>
        <w:rPr>
          <w:rFonts w:hint="eastAsia"/>
          <w:szCs w:val="20"/>
          <w:lang w:val="en-US" w:eastAsia="zh-CN"/>
        </w:rPr>
        <w:t xml:space="preserve">. Thus </w:t>
      </w:r>
      <w:r>
        <w:rPr>
          <w:rFonts w:hint="eastAsia" w:eastAsia="宋体"/>
          <w:lang w:val="en-US" w:eastAsia="zh-CN"/>
        </w:rPr>
        <w:t>a new mechanism to trigger RLF</w:t>
      </w:r>
      <w:r>
        <w:rPr>
          <w:rFonts w:eastAsia="宋体"/>
          <w:lang w:val="en-US" w:eastAsia="zh-CN"/>
        </w:rPr>
        <w:t xml:space="preserve"> when necessary due to LBT failures </w:t>
      </w:r>
      <w:r>
        <w:rPr>
          <w:rFonts w:hint="eastAsia" w:eastAsia="宋体"/>
          <w:lang w:val="en-US" w:eastAsia="zh-CN"/>
        </w:rPr>
        <w:t>can be considered. For example, when the number of LBT failure</w:t>
      </w:r>
      <w:r>
        <w:rPr>
          <w:rFonts w:eastAsia="宋体"/>
          <w:lang w:val="en-US" w:eastAsia="zh-CN"/>
        </w:rPr>
        <w:t>s</w:t>
      </w:r>
      <w:r>
        <w:rPr>
          <w:rFonts w:hint="eastAsia" w:eastAsia="宋体"/>
          <w:lang w:val="en-US" w:eastAsia="zh-CN"/>
        </w:rPr>
        <w:t xml:space="preserve"> for transmission of RLM-RS </w:t>
      </w:r>
      <w:r>
        <w:rPr>
          <w:rFonts w:eastAsia="宋体"/>
          <w:lang w:val="en-US" w:eastAsia="zh-CN"/>
        </w:rPr>
        <w:t>with</w:t>
      </w:r>
      <w:r>
        <w:rPr>
          <w:rFonts w:hint="eastAsia" w:eastAsia="宋体"/>
          <w:lang w:val="en-US" w:eastAsia="zh-CN"/>
        </w:rPr>
        <w:t xml:space="preserve">in a </w:t>
      </w:r>
      <w:r>
        <w:rPr>
          <w:rFonts w:eastAsia="宋体"/>
          <w:lang w:val="en-US" w:eastAsia="zh-CN"/>
        </w:rPr>
        <w:t xml:space="preserve">certain </w:t>
      </w:r>
      <w:r>
        <w:rPr>
          <w:rFonts w:hint="eastAsia" w:eastAsia="宋体"/>
          <w:lang w:val="en-US" w:eastAsia="zh-CN"/>
        </w:rPr>
        <w:t xml:space="preserve">period reaches a threshold, a RRC </w:t>
      </w:r>
      <w:r>
        <w:rPr>
          <w:rFonts w:eastAsia="宋体"/>
          <w:lang w:val="en-US" w:eastAsia="zh-CN"/>
        </w:rPr>
        <w:t>re</w:t>
      </w:r>
      <w:r>
        <w:rPr>
          <w:rFonts w:hint="eastAsia" w:eastAsia="宋体"/>
          <w:lang w:val="en-US" w:eastAsia="zh-CN"/>
        </w:rPr>
        <w:t>-</w:t>
      </w:r>
      <w:r>
        <w:rPr>
          <w:rFonts w:eastAsia="宋体"/>
          <w:lang w:val="en-US" w:eastAsia="zh-CN"/>
        </w:rPr>
        <w:t>establishment</w:t>
      </w:r>
      <w:r>
        <w:rPr>
          <w:rFonts w:hint="eastAsia" w:eastAsia="宋体"/>
          <w:lang w:val="en-US" w:eastAsia="zh-CN"/>
        </w:rPr>
        <w:t xml:space="preserve"> procedure can be triggered by UE.</w:t>
      </w:r>
      <w:r>
        <w:rPr>
          <w:rFonts w:eastAsia="宋体"/>
          <w:lang w:val="en-US" w:eastAsia="zh-CN"/>
        </w:rPr>
        <w:t xml:space="preserve"> </w:t>
      </w:r>
    </w:p>
    <w:p>
      <w:pPr>
        <w:widowControl w:val="0"/>
        <w:numPr>
          <w:ilvl w:val="255"/>
          <w:numId w:val="0"/>
        </w:numPr>
        <w:spacing w:line="240" w:lineRule="auto"/>
        <w:jc w:val="both"/>
        <w:rPr>
          <w:rFonts w:eastAsia="宋体"/>
          <w:bCs/>
          <w:i/>
          <w:iCs/>
          <w:lang w:val="en-US" w:eastAsia="zh-CN"/>
        </w:rPr>
      </w:pPr>
      <w:r>
        <w:rPr>
          <w:rFonts w:eastAsia="宋体"/>
          <w:b/>
          <w:lang w:val="en-US" w:eastAsia="zh-CN"/>
        </w:rPr>
        <w:t xml:space="preserve">Proposal </w:t>
      </w:r>
      <w:r>
        <w:rPr>
          <w:rFonts w:hint="eastAsia" w:eastAsia="宋体"/>
          <w:b/>
          <w:lang w:val="en-US" w:eastAsia="zh-CN"/>
        </w:rPr>
        <w:t>6</w:t>
      </w:r>
      <w:r>
        <w:rPr>
          <w:rFonts w:eastAsia="宋体"/>
          <w:b/>
          <w:lang w:val="en-US" w:eastAsia="zh-CN"/>
        </w:rPr>
        <w:t>:</w:t>
      </w:r>
      <w:r>
        <w:rPr>
          <w:rFonts w:hint="eastAsia" w:eastAsia="宋体"/>
          <w:b/>
          <w:lang w:val="en-US" w:eastAsia="zh-CN"/>
        </w:rPr>
        <w:t xml:space="preserve"> </w:t>
      </w:r>
      <w:r>
        <w:rPr>
          <w:rFonts w:hint="eastAsia" w:eastAsia="宋体"/>
          <w:bCs/>
          <w:i/>
          <w:iCs/>
          <w:lang w:val="en-US" w:eastAsia="zh-CN"/>
        </w:rPr>
        <w:t xml:space="preserve">A new mechanism that the number of consecutive DL LBT failures reaches a threshold in a given period can be introduced to trigger RRC re-establishment procedure. </w:t>
      </w:r>
    </w:p>
    <w:p>
      <w:pPr>
        <w:pStyle w:val="2"/>
        <w:keepNext/>
        <w:keepLines/>
        <w:pageBreakBefore w:val="0"/>
        <w:widowControl/>
        <w:kinsoku/>
        <w:wordWrap/>
        <w:overflowPunct/>
        <w:topLinePunct w:val="0"/>
        <w:autoSpaceDE/>
        <w:autoSpaceDN/>
        <w:bidi w:val="0"/>
        <w:adjustRightInd/>
        <w:snapToGrid/>
        <w:spacing w:before="360" w:line="260" w:lineRule="auto"/>
        <w:ind w:left="448" w:hanging="448"/>
        <w:jc w:val="both"/>
        <w:textAlignment w:val="auto"/>
        <w:outlineLvl w:val="0"/>
        <w:rPr>
          <w:rFonts w:eastAsia="宋体" w:cs="Arial"/>
          <w:b/>
          <w:sz w:val="28"/>
          <w:szCs w:val="28"/>
          <w:lang w:val="en-US" w:eastAsia="zh-CN"/>
        </w:rPr>
      </w:pPr>
      <w:r>
        <w:rPr>
          <w:rFonts w:hint="eastAsia" w:eastAsia="宋体" w:cs="Arial"/>
          <w:b/>
          <w:sz w:val="28"/>
          <w:szCs w:val="28"/>
          <w:lang w:val="en-US" w:eastAsia="zh-CN"/>
        </w:rPr>
        <w:t xml:space="preserve"> RACH procedure</w:t>
      </w:r>
    </w:p>
    <w:p>
      <w:pPr>
        <w:pStyle w:val="3"/>
        <w:numPr>
          <w:ilvl w:val="-1"/>
          <w:numId w:val="0"/>
        </w:numPr>
        <w:spacing w:line="240" w:lineRule="auto"/>
        <w:ind w:left="0" w:firstLine="0"/>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4.1 RACH Resource</w:t>
      </w:r>
    </w:p>
    <w:p>
      <w:pPr>
        <w:spacing w:before="180" w:line="240" w:lineRule="auto"/>
        <w:jc w:val="both"/>
        <w:rPr>
          <w:lang w:val="en-US" w:eastAsia="zh-CN"/>
        </w:rPr>
      </w:pPr>
      <w:r>
        <w:rPr>
          <w:rFonts w:hint="eastAsia"/>
          <w:lang w:val="en-US" w:eastAsia="zh-CN"/>
        </w:rPr>
        <w:t>In RAN1 #94bis meeting, the following several option</w:t>
      </w:r>
      <w:r>
        <w:rPr>
          <w:lang w:val="en-US" w:eastAsia="zh-CN"/>
        </w:rPr>
        <w:t>s</w:t>
      </w:r>
      <w:r>
        <w:rPr>
          <w:rFonts w:hint="eastAsia"/>
          <w:lang w:val="en-US" w:eastAsia="zh-CN"/>
        </w:rPr>
        <w:t xml:space="preserve"> </w:t>
      </w:r>
      <w:r>
        <w:rPr>
          <w:lang w:val="en-US" w:eastAsia="zh-CN"/>
        </w:rPr>
        <w:t>were</w:t>
      </w:r>
      <w:r>
        <w:rPr>
          <w:rFonts w:hint="eastAsia"/>
          <w:lang w:val="en-US" w:eastAsia="zh-CN"/>
        </w:rPr>
        <w:t xml:space="preserve"> proposed to handle the issue of reduced transmission opportunities due to LBT failure for Msg</w:t>
      </w:r>
      <w:r>
        <w:rPr>
          <w:lang w:val="en-US" w:eastAsia="zh-CN"/>
        </w:rPr>
        <w:t xml:space="preserve"> </w:t>
      </w:r>
      <w:r>
        <w:rPr>
          <w:rFonts w:hint="eastAsia"/>
          <w:lang w:val="en-US" w:eastAsia="zh-CN"/>
        </w:rPr>
        <w:t xml:space="preserve">1 transmission in four-step RACH procedure. </w:t>
      </w:r>
    </w:p>
    <w:p>
      <w:pPr>
        <w:numPr>
          <w:ilvl w:val="0"/>
          <w:numId w:val="17"/>
        </w:numPr>
        <w:spacing w:after="0" w:line="240" w:lineRule="auto"/>
        <w:rPr>
          <w:b/>
          <w:i/>
          <w:iCs/>
          <w:lang w:eastAsia="zh-CN"/>
        </w:rPr>
      </w:pPr>
      <w:r>
        <w:rPr>
          <w:b/>
          <w:i/>
          <w:iCs/>
          <w:lang w:eastAsia="zh-CN"/>
        </w:rPr>
        <w:t>Frequency-domain enhancement</w:t>
      </w:r>
    </w:p>
    <w:p>
      <w:pPr>
        <w:numPr>
          <w:ilvl w:val="1"/>
          <w:numId w:val="17"/>
        </w:numPr>
        <w:spacing w:after="0" w:line="240" w:lineRule="auto"/>
        <w:rPr>
          <w:i/>
          <w:iCs/>
          <w:lang w:eastAsia="zh-CN"/>
        </w:rPr>
      </w:pPr>
      <w:r>
        <w:rPr>
          <w:i/>
          <w:iCs/>
          <w:lang w:eastAsia="zh-CN"/>
        </w:rPr>
        <w:t>Multiple PRACH resources across multiple LBT sub-bands/carriers for both contention-free and contention-based RA</w:t>
      </w:r>
    </w:p>
    <w:p>
      <w:pPr>
        <w:numPr>
          <w:ilvl w:val="0"/>
          <w:numId w:val="17"/>
        </w:numPr>
        <w:spacing w:after="0" w:line="240" w:lineRule="auto"/>
        <w:rPr>
          <w:b/>
          <w:i/>
          <w:iCs/>
          <w:lang w:eastAsia="zh-CN"/>
        </w:rPr>
      </w:pPr>
      <w:r>
        <w:rPr>
          <w:b/>
          <w:i/>
          <w:iCs/>
          <w:lang w:eastAsia="zh-CN"/>
        </w:rPr>
        <w:t>Time-domain enhancements</w:t>
      </w:r>
    </w:p>
    <w:p>
      <w:pPr>
        <w:numPr>
          <w:ilvl w:val="1"/>
          <w:numId w:val="17"/>
        </w:numPr>
        <w:spacing w:after="0" w:line="240" w:lineRule="auto"/>
        <w:rPr>
          <w:i/>
          <w:iCs/>
          <w:lang w:eastAsia="zh-CN"/>
        </w:rPr>
      </w:pPr>
      <w:r>
        <w:rPr>
          <w:i/>
          <w:iCs/>
          <w:lang w:eastAsia="zh-CN"/>
        </w:rPr>
        <w:t xml:space="preserve">For connected mode UE, scheduling of PRACH resources via DCI. </w:t>
      </w:r>
    </w:p>
    <w:p>
      <w:pPr>
        <w:numPr>
          <w:ilvl w:val="2"/>
          <w:numId w:val="17"/>
        </w:numPr>
        <w:spacing w:after="0" w:line="240" w:lineRule="auto"/>
        <w:rPr>
          <w:i/>
          <w:iCs/>
          <w:lang w:eastAsia="zh-CN"/>
        </w:rPr>
      </w:pPr>
      <w:r>
        <w:rPr>
          <w:i/>
          <w:iCs/>
          <w:lang w:eastAsia="zh-CN"/>
        </w:rPr>
        <w:t>Triggered PRACH within TXOP can use a new resource</w:t>
      </w:r>
    </w:p>
    <w:p>
      <w:pPr>
        <w:numPr>
          <w:ilvl w:val="1"/>
          <w:numId w:val="17"/>
        </w:numPr>
        <w:spacing w:after="0" w:line="240" w:lineRule="auto"/>
        <w:rPr>
          <w:i/>
          <w:iCs/>
          <w:lang w:eastAsia="zh-CN"/>
        </w:rPr>
      </w:pPr>
      <w:r>
        <w:rPr>
          <w:i/>
          <w:iCs/>
          <w:lang w:eastAsia="zh-CN"/>
        </w:rPr>
        <w:t>For idle mode UE, scheduling of PRACH resources via paging</w:t>
      </w:r>
    </w:p>
    <w:p>
      <w:pPr>
        <w:numPr>
          <w:ilvl w:val="2"/>
          <w:numId w:val="17"/>
        </w:numPr>
        <w:spacing w:after="0" w:line="240" w:lineRule="auto"/>
        <w:rPr>
          <w:i/>
          <w:iCs/>
          <w:lang w:eastAsia="zh-CN"/>
        </w:rPr>
      </w:pPr>
      <w:r>
        <w:rPr>
          <w:i/>
          <w:iCs/>
          <w:lang w:eastAsia="zh-CN"/>
        </w:rPr>
        <w:t>Note: potential inefficiency in network resource due to paging across multiple cells</w:t>
      </w:r>
    </w:p>
    <w:p>
      <w:pPr>
        <w:numPr>
          <w:ilvl w:val="1"/>
          <w:numId w:val="17"/>
        </w:numPr>
        <w:spacing w:after="0" w:line="240" w:lineRule="auto"/>
        <w:rPr>
          <w:i/>
          <w:iCs/>
          <w:lang w:eastAsia="zh-CN"/>
        </w:rPr>
      </w:pPr>
      <w:r>
        <w:rPr>
          <w:i/>
          <w:iCs/>
          <w:lang w:eastAsia="zh-CN"/>
        </w:rPr>
        <w:t>Additional, new RACH resources are used immediately following detection of DRS transmission</w:t>
      </w:r>
    </w:p>
    <w:p>
      <w:pPr>
        <w:numPr>
          <w:ilvl w:val="1"/>
          <w:numId w:val="17"/>
        </w:numPr>
        <w:spacing w:after="0" w:line="240" w:lineRule="auto"/>
        <w:rPr>
          <w:i/>
          <w:iCs/>
          <w:lang w:eastAsia="zh-CN"/>
        </w:rPr>
      </w:pPr>
      <w:r>
        <w:rPr>
          <w:i/>
          <w:iCs/>
          <w:lang w:eastAsia="zh-CN"/>
        </w:rPr>
        <w:t>Multiple PRACH transmissions before Msg2 reception in RAR window for initial access</w:t>
      </w:r>
    </w:p>
    <w:p>
      <w:pPr>
        <w:numPr>
          <w:ilvl w:val="2"/>
          <w:numId w:val="17"/>
        </w:numPr>
        <w:spacing w:after="0" w:line="240" w:lineRule="auto"/>
        <w:rPr>
          <w:i/>
          <w:iCs/>
          <w:lang w:eastAsia="zh-CN"/>
        </w:rPr>
      </w:pPr>
      <w:r>
        <w:rPr>
          <w:i/>
          <w:iCs/>
          <w:lang w:eastAsia="zh-CN"/>
        </w:rPr>
        <w:t>Number of allowed transmissions is pre-defined or indicated, e.g., in RMSI</w:t>
      </w:r>
    </w:p>
    <w:p>
      <w:pPr>
        <w:numPr>
          <w:ilvl w:val="2"/>
          <w:numId w:val="17"/>
        </w:numPr>
        <w:spacing w:after="0" w:line="240" w:lineRule="auto"/>
        <w:rPr>
          <w:i/>
          <w:iCs/>
          <w:lang w:eastAsia="zh-CN"/>
        </w:rPr>
      </w:pPr>
      <w:r>
        <w:rPr>
          <w:i/>
          <w:iCs/>
          <w:lang w:eastAsia="zh-CN"/>
        </w:rPr>
        <w:t>FFS: How to handle potential multiple RARs to same UE</w:t>
      </w:r>
    </w:p>
    <w:p>
      <w:pPr>
        <w:numPr>
          <w:ilvl w:val="1"/>
          <w:numId w:val="17"/>
        </w:numPr>
        <w:spacing w:after="0" w:line="240" w:lineRule="auto"/>
        <w:rPr>
          <w:i/>
          <w:iCs/>
          <w:lang w:val="en-US" w:eastAsia="zh-CN"/>
        </w:rPr>
      </w:pPr>
      <w:r>
        <w:rPr>
          <w:i/>
          <w:iCs/>
          <w:lang w:eastAsia="zh-CN"/>
        </w:rPr>
        <w:t>Group wise SSB-to-RO mapping by frequency first-time second manner, where grouping is in time domain</w:t>
      </w:r>
    </w:p>
    <w:p>
      <w:pPr>
        <w:spacing w:before="180" w:line="240" w:lineRule="auto"/>
        <w:jc w:val="both"/>
        <w:rPr>
          <w:rFonts w:eastAsia="宋体"/>
          <w:lang w:val="en-US" w:eastAsia="zh-CN"/>
        </w:rPr>
      </w:pPr>
      <w:r>
        <w:rPr>
          <w:rFonts w:hint="eastAsia" w:eastAsia="宋体"/>
          <w:lang w:val="en-US" w:eastAsia="zh-CN"/>
        </w:rPr>
        <w:t>If PRACH resource is allowed to be configured per sub-band/carrier, UE can perform LBT operation for RACH over multiple sub-bands in parallel, which is beneficial to increase the success probability of Msg</w:t>
      </w:r>
      <w:r>
        <w:rPr>
          <w:rFonts w:eastAsia="宋体"/>
          <w:lang w:val="en-US" w:eastAsia="zh-CN"/>
        </w:rPr>
        <w:t xml:space="preserve"> </w:t>
      </w:r>
      <w:r>
        <w:rPr>
          <w:rFonts w:hint="eastAsia" w:eastAsia="宋体"/>
          <w:lang w:val="en-US" w:eastAsia="zh-CN"/>
        </w:rPr>
        <w:t xml:space="preserve">1 transmission. </w:t>
      </w:r>
      <w:r>
        <w:rPr>
          <w:rFonts w:eastAsia="宋体"/>
          <w:lang w:val="en-US" w:eastAsia="zh-CN"/>
        </w:rPr>
        <w:t>In</w:t>
      </w:r>
      <w:r>
        <w:rPr>
          <w:rFonts w:hint="eastAsia" w:eastAsia="宋体"/>
          <w:lang w:val="en-US" w:eastAsia="zh-CN"/>
        </w:rPr>
        <w:t xml:space="preserve"> the case</w:t>
      </w:r>
      <w:r>
        <w:rPr>
          <w:rFonts w:eastAsia="宋体"/>
          <w:lang w:val="en-US" w:eastAsia="zh-CN"/>
        </w:rPr>
        <w:t xml:space="preserve"> when </w:t>
      </w:r>
      <w:r>
        <w:rPr>
          <w:rFonts w:hint="eastAsia" w:eastAsia="宋体"/>
          <w:lang w:val="en-US" w:eastAsia="zh-CN"/>
        </w:rPr>
        <w:t>LBT within one of multiple sub-bands in a BWP /carriers is performed successfully, UE will need to complete the whole RACH procedure on LBT successful sub-band/carrier. Optionally, each message can be transmitted on which sub-band in a BWP/carrier depends on LBT results of sub-band/carrier.</w:t>
      </w:r>
    </w:p>
    <w:p>
      <w:pPr>
        <w:numPr>
          <w:ilvl w:val="0"/>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RACH resources can be configured over multiple LBT sub-bands within a BWP where each RACH resource is limited within an LBT sub-band.</w:t>
      </w:r>
    </w:p>
    <w:p>
      <w:pPr>
        <w:pStyle w:val="14"/>
        <w:spacing w:line="240" w:lineRule="auto"/>
        <w:jc w:val="both"/>
        <w:rPr>
          <w:rFonts w:eastAsia="宋体"/>
          <w:b w:val="0"/>
          <w:lang w:val="en-US" w:eastAsia="zh-CN"/>
        </w:rPr>
      </w:pPr>
      <w:r>
        <w:rPr>
          <w:rFonts w:hint="eastAsia" w:eastAsia="宋体"/>
          <w:b w:val="0"/>
          <w:lang w:val="en-US" w:eastAsia="zh-CN"/>
        </w:rPr>
        <w:t>Option 2-a is a method worth considering since it enables Msg</w:t>
      </w:r>
      <w:r>
        <w:rPr>
          <w:rFonts w:eastAsia="宋体"/>
          <w:b w:val="0"/>
          <w:lang w:val="en-US" w:eastAsia="zh-CN"/>
        </w:rPr>
        <w:t xml:space="preserve"> </w:t>
      </w:r>
      <w:r>
        <w:rPr>
          <w:rFonts w:hint="eastAsia" w:eastAsia="宋体"/>
          <w:b w:val="0"/>
          <w:lang w:val="en-US" w:eastAsia="zh-CN"/>
        </w:rPr>
        <w:t>1 transmission within a gNB initiated COT. Further, it is better to improve resource efficiency within a gNB initiated COT. In order to reduce the risk of losing the channel, option 2-a can be used in conjunction with option1-a.</w:t>
      </w:r>
    </w:p>
    <w:p>
      <w:pPr>
        <w:numPr>
          <w:ilvl w:val="0"/>
          <w:numId w:val="0"/>
        </w:numPr>
        <w:spacing w:line="240" w:lineRule="auto"/>
        <w:jc w:val="both"/>
        <w:rPr>
          <w:rFonts w:eastAsia="宋体"/>
          <w:bCs/>
          <w:lang w:val="en-US" w:eastAsia="zh-CN"/>
        </w:rPr>
      </w:pPr>
      <w:r>
        <w:rPr>
          <w:rFonts w:hint="eastAsia" w:eastAsia="宋体"/>
          <w:b/>
          <w:lang w:val="en-US" w:eastAsia="zh-CN"/>
        </w:rPr>
        <w:t>Proposal 8:</w:t>
      </w:r>
      <w:r>
        <w:rPr>
          <w:rFonts w:hint="eastAsia" w:eastAsia="宋体"/>
          <w:bCs/>
          <w:i/>
          <w:iCs/>
          <w:lang w:val="en-US" w:eastAsia="zh-CN"/>
        </w:rPr>
        <w:t xml:space="preserve"> Scheduling of PRACH resources via DCI (option2-a) can be considered for NR-U.</w:t>
      </w:r>
    </w:p>
    <w:p>
      <w:pPr>
        <w:pStyle w:val="14"/>
        <w:spacing w:line="240" w:lineRule="auto"/>
        <w:jc w:val="both"/>
        <w:rPr>
          <w:rFonts w:eastAsia="宋体"/>
          <w:b w:val="0"/>
          <w:lang w:val="en-US" w:eastAsia="zh-CN"/>
        </w:rPr>
      </w:pPr>
      <w:r>
        <w:rPr>
          <w:rFonts w:hint="eastAsia" w:eastAsia="宋体"/>
          <w:b w:val="0"/>
          <w:lang w:val="en-US" w:eastAsia="zh-CN"/>
        </w:rPr>
        <w:t xml:space="preserve">As pointed out in the meeting conclusion, scheduling of PRACH resources via paging can be inefficient since the same paging message is transmitted by multiple cells in same paging area. </w:t>
      </w:r>
    </w:p>
    <w:p>
      <w:pPr>
        <w:numPr>
          <w:ilvl w:val="0"/>
          <w:numId w:val="0"/>
        </w:numPr>
        <w:spacing w:line="240" w:lineRule="auto"/>
        <w:jc w:val="both"/>
        <w:rPr>
          <w:rFonts w:eastAsia="宋体"/>
          <w:bCs/>
          <w:lang w:val="en-US" w:eastAsia="zh-CN"/>
        </w:rPr>
      </w:pPr>
      <w:r>
        <w:rPr>
          <w:rFonts w:hint="eastAsia" w:eastAsia="宋体"/>
          <w:b/>
          <w:lang w:val="en-US" w:eastAsia="zh-CN"/>
        </w:rPr>
        <w:t>Proposal 9:</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spacing w:before="180" w:line="240" w:lineRule="auto"/>
        <w:jc w:val="both"/>
        <w:rPr>
          <w:rFonts w:eastAsia="宋体"/>
          <w:lang w:val="en-US" w:eastAsia="zh-CN"/>
        </w:rPr>
      </w:pPr>
      <w:r>
        <w:rPr>
          <w:rFonts w:hint="eastAsia" w:eastAsia="宋体"/>
          <w:lang w:val="en-US" w:eastAsia="zh-CN"/>
        </w:rPr>
        <w:t xml:space="preserve">For option2-c, new RACH resources immediately following detection of DRS transmission are very limited when other signals/channel such as RMSI PDCCH/PDSCH and so on were filled within the blank symbols of DRS or the number of actual transmitted SS/PBCH blocks within DRS is up to 8. Based on this, UE will face high collision probability if RACH resources immediately following detection of DRS transmission is used. </w:t>
      </w:r>
    </w:p>
    <w:p>
      <w:pPr>
        <w:numPr>
          <w:ilvl w:val="0"/>
          <w:numId w:val="0"/>
        </w:numPr>
        <w:spacing w:line="240" w:lineRule="auto"/>
        <w:jc w:val="both"/>
        <w:rPr>
          <w:rFonts w:eastAsia="宋体"/>
          <w:bCs/>
          <w:lang w:val="en-US" w:eastAsia="zh-CN"/>
        </w:rPr>
      </w:pPr>
      <w:r>
        <w:rPr>
          <w:rFonts w:hint="eastAsia" w:eastAsia="宋体"/>
          <w:b/>
          <w:lang w:val="en-US" w:eastAsia="zh-CN"/>
        </w:rPr>
        <w:t>Proposal 10:</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spacing w:line="240" w:lineRule="auto"/>
        <w:jc w:val="both"/>
        <w:rPr>
          <w:rFonts w:eastAsia="宋体"/>
          <w:lang w:val="en-US" w:eastAsia="zh-CN"/>
        </w:rPr>
      </w:pPr>
      <w:r>
        <w:rPr>
          <w:rFonts w:hint="eastAsia" w:eastAsia="宋体"/>
          <w:lang w:val="en-US" w:eastAsia="zh-CN"/>
        </w:rPr>
        <w:t>For option2-d, assuming that multiple Msg</w:t>
      </w:r>
      <w:r>
        <w:rPr>
          <w:rFonts w:eastAsia="宋体"/>
          <w:lang w:val="en-US" w:eastAsia="zh-CN"/>
        </w:rPr>
        <w:t xml:space="preserve"> </w:t>
      </w:r>
      <w:r>
        <w:rPr>
          <w:rFonts w:hint="eastAsia" w:eastAsia="宋体"/>
          <w:lang w:val="en-US" w:eastAsia="zh-CN"/>
        </w:rPr>
        <w:t>1 transmission opportunities were configured before Msg</w:t>
      </w:r>
      <w:r>
        <w:rPr>
          <w:rFonts w:eastAsia="宋体"/>
          <w:lang w:val="en-US" w:eastAsia="zh-CN"/>
        </w:rPr>
        <w:t xml:space="preserve"> </w:t>
      </w:r>
      <w:r>
        <w:rPr>
          <w:rFonts w:hint="eastAsia" w:eastAsia="宋体"/>
          <w:lang w:val="en-US" w:eastAsia="zh-CN"/>
        </w:rPr>
        <w:t>2 reception in RAR window, if UE perform LBT success in the one of multiple Msg1 transmission opportunities, one or more RACH resources after Msg1 transmitted successfully may be unnecessary. So allocating multiple RACH resources seems inefficient.</w:t>
      </w:r>
    </w:p>
    <w:p>
      <w:pPr>
        <w:numPr>
          <w:ilvl w:val="0"/>
          <w:numId w:val="0"/>
        </w:numPr>
        <w:spacing w:line="240" w:lineRule="auto"/>
        <w:jc w:val="both"/>
        <w:rPr>
          <w:rFonts w:eastAsia="宋体"/>
          <w:bCs/>
          <w:lang w:val="en-US" w:eastAsia="zh-CN"/>
        </w:rPr>
      </w:pPr>
      <w:r>
        <w:rPr>
          <w:rFonts w:hint="eastAsia" w:eastAsia="宋体"/>
          <w:b/>
          <w:lang w:val="en-US" w:eastAsia="zh-CN"/>
        </w:rPr>
        <w:t>Proposal 11:</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spacing w:before="180" w:line="240" w:lineRule="auto"/>
        <w:jc w:val="both"/>
        <w:rPr>
          <w:rFonts w:eastAsia="宋体"/>
          <w:highlight w:val="yellow"/>
          <w:lang w:val="en-US" w:eastAsia="zh-CN"/>
        </w:rPr>
      </w:pPr>
      <w:r>
        <w:rPr>
          <w:rFonts w:hint="eastAsia" w:eastAsia="宋体"/>
          <w:lang w:val="en-US" w:eastAsia="zh-CN"/>
        </w:rPr>
        <w:t xml:space="preserve">For option2-e, Group wise SSB-to-RO mapping by frequency first-time second manner can be achieved by Rel-15 NR design. For example, the number of SSBs is 4, the number of PRACH resources in the frequency domain is 4, </w:t>
      </w:r>
      <w:r>
        <w:rPr>
          <w:rFonts w:eastAsia="宋体"/>
          <w:lang w:val="en-US" w:eastAsia="zh-CN"/>
        </w:rPr>
        <w:t xml:space="preserve">and </w:t>
      </w:r>
      <w:r>
        <w:rPr>
          <w:rFonts w:hint="eastAsia" w:eastAsia="宋体"/>
          <w:lang w:val="en-US" w:eastAsia="zh-CN"/>
        </w:rPr>
        <w:t>the number of SSBs per RO is 1</w:t>
      </w:r>
      <w:r>
        <w:rPr>
          <w:rFonts w:eastAsia="宋体"/>
          <w:lang w:val="en-US" w:eastAsia="zh-CN"/>
        </w:rPr>
        <w:t>. T</w:t>
      </w:r>
      <w:r>
        <w:rPr>
          <w:rFonts w:hint="eastAsia" w:eastAsia="宋体"/>
          <w:lang w:val="en-US" w:eastAsia="zh-CN"/>
        </w:rPr>
        <w:t>hen one SSB can get multiple ROs in the time domain as shown in Figure 1.</w:t>
      </w:r>
    </w:p>
    <w:p>
      <w:pPr>
        <w:spacing w:before="180" w:line="240" w:lineRule="auto"/>
        <w:jc w:val="center"/>
      </w:pPr>
      <w:r>
        <w:object>
          <v:shape id="_x0000_i1032" o:spt="75" type="#_x0000_t75" style="height:107.5pt;width:415.5pt;" o:ole="t" filled="f" o:preferrelative="t" stroked="f" coordsize="21600,21600">
            <v:path/>
            <v:fill on="f" focussize="0,0"/>
            <v:stroke on="f" joinstyle="miter"/>
            <v:imagedata r:id="rId10" o:title=""/>
            <o:lock v:ext="edit" aspectratio="t"/>
            <w10:wrap type="none"/>
            <w10:anchorlock/>
          </v:shape>
          <o:OLEObject Type="Embed" ProgID="Visio.Drawing.11" ShapeID="_x0000_i1032" DrawAspect="Content" ObjectID="_1468075725" r:id="rId9">
            <o:LockedField>false</o:LockedField>
          </o:OLEObject>
        </w:object>
      </w:r>
    </w:p>
    <w:p>
      <w:pPr>
        <w:spacing w:before="180" w:line="240" w:lineRule="auto"/>
        <w:jc w:val="center"/>
        <w:rPr>
          <w:lang w:val="en-US" w:eastAsia="zh-CN"/>
        </w:rPr>
      </w:pPr>
      <w:r>
        <w:rPr>
          <w:rFonts w:hint="eastAsia"/>
          <w:lang w:val="en-US" w:eastAsia="zh-CN"/>
        </w:rPr>
        <w:t>Figure 1 SSB-to-RO mapping by frequency first - time second manner.</w:t>
      </w:r>
    </w:p>
    <w:p>
      <w:pPr>
        <w:numPr>
          <w:ilvl w:val="0"/>
          <w:numId w:val="0"/>
        </w:numPr>
        <w:spacing w:line="240" w:lineRule="auto"/>
        <w:jc w:val="both"/>
        <w:rPr>
          <w:rFonts w:eastAsia="宋体"/>
          <w:bCs/>
          <w:lang w:val="en-US" w:eastAsia="zh-CN"/>
        </w:rPr>
      </w:pPr>
      <w:r>
        <w:rPr>
          <w:rFonts w:hint="eastAsia" w:eastAsia="宋体"/>
          <w:b/>
          <w:lang w:val="en-US" w:eastAsia="zh-CN"/>
        </w:rPr>
        <w:t>Proposal 12:</w:t>
      </w:r>
      <w:r>
        <w:rPr>
          <w:rFonts w:hint="eastAsia" w:eastAsia="宋体"/>
          <w:bCs/>
          <w:i/>
          <w:iCs/>
          <w:lang w:val="en-US" w:eastAsia="zh-CN"/>
        </w:rPr>
        <w:t xml:space="preserve"> Group wise SSB-to-RO mapping by frequency first-time second manner can be achieved by existing Rel-15 NR design.</w:t>
      </w:r>
    </w:p>
    <w:p>
      <w:pPr>
        <w:pStyle w:val="3"/>
        <w:keepNext/>
        <w:keepLines/>
        <w:pageBreakBefore w:val="0"/>
        <w:widowControl/>
        <w:numPr>
          <w:ilvl w:val="-1"/>
          <w:numId w:val="0"/>
        </w:numPr>
        <w:kinsoku/>
        <w:wordWrap/>
        <w:overflowPunct/>
        <w:topLinePunct w:val="0"/>
        <w:autoSpaceDE/>
        <w:autoSpaceDN/>
        <w:bidi w:val="0"/>
        <w:adjustRightInd/>
        <w:snapToGrid/>
        <w:spacing w:before="240" w:after="60" w:line="240" w:lineRule="auto"/>
        <w:ind w:left="0" w:leftChars="0" w:right="0" w:rightChars="0" w:firstLine="0" w:firstLineChars="0"/>
        <w:jc w:val="left"/>
        <w:textAlignment w:val="auto"/>
        <w:outlineLvl w:val="1"/>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4.3 Msg3</w:t>
      </w:r>
    </w:p>
    <w:p>
      <w:pPr>
        <w:spacing w:before="180" w:beforeLines="0" w:afterLines="0" w:line="240" w:lineRule="auto"/>
        <w:jc w:val="both"/>
        <w:rPr>
          <w:rFonts w:hint="eastAsia" w:eastAsia="宋体"/>
          <w:lang w:val="en-US" w:eastAsia="zh-CN"/>
        </w:rPr>
      </w:pPr>
      <w:r>
        <w:rPr>
          <w:rFonts w:hint="default" w:eastAsia="宋体" w:cs="Times New Roman"/>
          <w:lang w:val="en-US" w:eastAsia="zh-CN"/>
        </w:rPr>
        <w:t xml:space="preserve">As agreed in previous meetings, </w:t>
      </w:r>
      <w:r>
        <w:rPr>
          <w:rFonts w:eastAsia="宋体"/>
          <w:lang w:val="en-US" w:eastAsia="zh-CN"/>
        </w:rPr>
        <w:t>RAN1</w:t>
      </w:r>
      <w:r>
        <w:rPr>
          <w:rFonts w:hint="eastAsia" w:eastAsia="宋体"/>
          <w:lang w:val="en-US" w:eastAsia="zh-CN"/>
        </w:rPr>
        <w:t xml:space="preserve"> can</w:t>
      </w:r>
      <w:r>
        <w:rPr>
          <w:rFonts w:eastAsia="宋体"/>
          <w:lang w:val="en-US" w:eastAsia="zh-CN"/>
        </w:rPr>
        <w:t xml:space="preserve"> facilitate COT sharing between Msg2 and Msg3</w:t>
      </w:r>
      <w:r>
        <w:rPr>
          <w:rFonts w:hint="eastAsia" w:eastAsia="宋体"/>
          <w:lang w:val="en-US" w:eastAsia="zh-CN"/>
        </w:rPr>
        <w:t>, and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or multiple RARs in the time domain is feasible from</w:t>
      </w:r>
      <w:r>
        <w:rPr>
          <w:rFonts w:hint="eastAsia" w:eastAsia="宋体"/>
          <w:lang w:val="en-US" w:eastAsia="zh-CN"/>
        </w:rPr>
        <w:t xml:space="preserve"> the perspective of </w:t>
      </w:r>
      <w:r>
        <w:rPr>
          <w:rFonts w:eastAsia="宋体"/>
          <w:lang w:val="en-US" w:eastAsia="zh-CN"/>
        </w:rPr>
        <w:t>RAN1</w:t>
      </w:r>
      <w:r>
        <w:rPr>
          <w:rFonts w:hint="eastAsia" w:eastAsia="宋体"/>
          <w:lang w:val="en-US" w:eastAsia="zh-CN"/>
        </w:rPr>
        <w:t xml:space="preserve">, </w:t>
      </w:r>
      <w:r>
        <w:rPr>
          <w:rFonts w:eastAsia="宋体"/>
          <w:lang w:val="en-US" w:eastAsia="zh-CN"/>
        </w:rPr>
        <w:t xml:space="preserve">but there is </w:t>
      </w:r>
      <w:r>
        <w:rPr>
          <w:rFonts w:hint="eastAsia" w:eastAsia="宋体"/>
          <w:lang w:val="en-US" w:eastAsia="zh-CN"/>
        </w:rPr>
        <w:t xml:space="preserve">still </w:t>
      </w:r>
      <w:r>
        <w:rPr>
          <w:rFonts w:eastAsia="宋体"/>
          <w:lang w:val="en-US" w:eastAsia="zh-CN"/>
        </w:rPr>
        <w:t>no consensus in RAN1</w:t>
      </w:r>
      <w:r>
        <w:rPr>
          <w:rFonts w:hint="eastAsia" w:eastAsia="宋体"/>
          <w:lang w:val="en-US" w:eastAsia="zh-CN"/>
        </w:rPr>
        <w:t xml:space="preserve"> #97 meeting</w:t>
      </w:r>
      <w:r>
        <w:rPr>
          <w:rFonts w:eastAsia="宋体"/>
          <w:lang w:val="en-US" w:eastAsia="zh-CN"/>
        </w:rPr>
        <w:t xml:space="preserve">. </w:t>
      </w:r>
      <w:r>
        <w:rPr>
          <w:rFonts w:hint="eastAsia" w:eastAsia="宋体"/>
          <w:lang w:val="en-US" w:eastAsia="zh-CN"/>
        </w:rPr>
        <w:t xml:space="preserve">Therefore, </w:t>
      </w:r>
      <w:r>
        <w:rPr>
          <w:rFonts w:eastAsia="宋体"/>
          <w:lang w:val="en-US" w:eastAsia="zh-CN"/>
        </w:rPr>
        <w:t>RAN1 will continue</w:t>
      </w:r>
      <w:r>
        <w:rPr>
          <w:rFonts w:hint="eastAsia" w:eastAsia="宋体"/>
          <w:lang w:val="en-US" w:eastAsia="zh-CN"/>
        </w:rPr>
        <w:t xml:space="preserve"> to</w:t>
      </w:r>
      <w:r>
        <w:rPr>
          <w:rFonts w:eastAsia="宋体"/>
          <w:lang w:val="en-US" w:eastAsia="zh-CN"/>
        </w:rPr>
        <w:t xml:space="preserve"> </w:t>
      </w:r>
      <w:r>
        <w:rPr>
          <w:rFonts w:hint="eastAsia" w:eastAsia="宋体"/>
          <w:lang w:val="en-US" w:eastAsia="zh-CN"/>
        </w:rPr>
        <w:t>discuss whether</w:t>
      </w:r>
      <w:r>
        <w:rPr>
          <w:rFonts w:eastAsia="宋体"/>
          <w:lang w:val="en-US" w:eastAsia="zh-CN"/>
        </w:rPr>
        <w:t xml:space="preserve"> multiple msg3 </w:t>
      </w:r>
      <w:r>
        <w:rPr>
          <w:rFonts w:hint="eastAsia" w:eastAsia="宋体"/>
          <w:lang w:val="en-US" w:eastAsia="zh-CN"/>
        </w:rPr>
        <w:t>T</w:t>
      </w:r>
      <w:r>
        <w:rPr>
          <w:rFonts w:eastAsia="宋体"/>
          <w:lang w:val="en-US" w:eastAsia="zh-CN"/>
        </w:rPr>
        <w:t>x opportunities</w:t>
      </w:r>
      <w:r>
        <w:rPr>
          <w:rFonts w:hint="eastAsia" w:eastAsia="宋体"/>
          <w:lang w:val="en-US" w:eastAsia="zh-CN"/>
        </w:rPr>
        <w:t xml:space="preserve"> should be supported. </w:t>
      </w:r>
    </w:p>
    <w:p>
      <w:pPr>
        <w:spacing w:before="180" w:beforeLines="0" w:afterLines="0" w:line="240" w:lineRule="auto"/>
        <w:jc w:val="both"/>
        <w:rPr>
          <w:rFonts w:hint="eastAsia" w:eastAsia="宋体"/>
          <w:lang w:val="en-US" w:eastAsia="zh-CN"/>
        </w:rPr>
      </w:pPr>
      <w:r>
        <w:rPr>
          <w:rFonts w:hint="eastAsia" w:eastAsia="宋体"/>
          <w:lang w:val="en-US" w:eastAsia="zh-CN"/>
        </w:rPr>
        <w:t>T</w:t>
      </w:r>
      <w:r>
        <w:rPr>
          <w:rFonts w:hint="default" w:eastAsia="宋体"/>
          <w:lang w:val="en-US" w:eastAsia="zh-CN"/>
        </w:rPr>
        <w:t xml:space="preserve">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is not a </w:t>
      </w:r>
      <w:r>
        <w:rPr>
          <w:rFonts w:hint="default" w:eastAsia="宋体"/>
          <w:lang w:val="en-US" w:eastAsia="zh-CN"/>
        </w:rPr>
        <w:t>e</w:t>
      </w:r>
      <w:r>
        <w:rPr>
          <w:rFonts w:hint="eastAsia" w:eastAsia="宋体"/>
          <w:lang w:val="en-US" w:eastAsia="zh-CN"/>
        </w:rPr>
        <w:t>ssential</w:t>
      </w:r>
      <w:r>
        <w:rPr>
          <w:rFonts w:hint="default" w:eastAsia="宋体"/>
          <w:lang w:val="en-US" w:eastAsia="zh-CN"/>
        </w:rPr>
        <w:t xml:space="preserve"> </w:t>
      </w:r>
      <w:r>
        <w:rPr>
          <w:rFonts w:hint="eastAsia" w:eastAsia="宋体"/>
          <w:lang w:val="en-US" w:eastAsia="zh-CN"/>
        </w:rPr>
        <w:t>problem which must be discussed. The success rate of  a single Msg3 can be improved by means of implementation or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RAR</w:t>
      </w:r>
      <w:r>
        <w:rPr>
          <w:rFonts w:hint="eastAsia" w:eastAsia="宋体"/>
          <w:lang w:val="en-US" w:eastAsia="zh-CN"/>
        </w:rPr>
        <w:t xml:space="preserve"> </w:t>
      </w:r>
      <w:r>
        <w:rPr>
          <w:rFonts w:eastAsia="宋体"/>
          <w:lang w:val="en-US" w:eastAsia="zh-CN"/>
        </w:rPr>
        <w:t>in the time domain</w:t>
      </w:r>
      <w:r>
        <w:rPr>
          <w:rFonts w:hint="eastAsia" w:eastAsia="宋体"/>
          <w:lang w:val="en-US" w:eastAsia="zh-CN"/>
        </w:rPr>
        <w:t xml:space="preserve"> is suitable. So we recommend</w:t>
      </w:r>
      <w:r>
        <w:rPr>
          <w:rFonts w:hint="default" w:eastAsia="宋体"/>
          <w:lang w:val="en-US" w:eastAsia="zh-CN"/>
        </w:rPr>
        <w:t xml:space="preserve"> that the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should not be considered </w:t>
      </w:r>
      <w:r>
        <w:rPr>
          <w:rFonts w:hint="default" w:eastAsia="宋体"/>
          <w:lang w:val="en-US" w:eastAsia="zh-CN"/>
        </w:rPr>
        <w:t>in R</w:t>
      </w:r>
      <w:r>
        <w:rPr>
          <w:rFonts w:hint="eastAsia" w:eastAsia="宋体"/>
          <w:lang w:val="en-US" w:eastAsia="zh-CN"/>
        </w:rPr>
        <w:t>el</w:t>
      </w:r>
      <w:r>
        <w:rPr>
          <w:rFonts w:hint="default" w:eastAsia="宋体"/>
          <w:lang w:val="en-US" w:eastAsia="zh-CN"/>
        </w:rPr>
        <w:t>-16 NR</w:t>
      </w:r>
      <w:r>
        <w:rPr>
          <w:rFonts w:hint="eastAsia" w:eastAsia="宋体"/>
          <w:lang w:val="en-US" w:eastAsia="zh-CN"/>
        </w:rPr>
        <w:t>-</w:t>
      </w:r>
      <w:r>
        <w:rPr>
          <w:rFonts w:hint="default" w:eastAsia="宋体"/>
          <w:lang w:val="en-US" w:eastAsia="zh-CN"/>
        </w:rPr>
        <w:t>U.</w:t>
      </w:r>
    </w:p>
    <w:p>
      <w:pPr>
        <w:numPr>
          <w:ilvl w:val="0"/>
          <w:numId w:val="0"/>
        </w:numPr>
        <w:spacing w:before="60" w:after="60" w:line="240" w:lineRule="auto"/>
        <w:ind w:left="0" w:firstLine="0"/>
        <w:jc w:val="both"/>
        <w:rPr>
          <w:rFonts w:eastAsia="宋体"/>
          <w:bCs/>
          <w:i/>
          <w:iCs/>
          <w:lang w:val="en-US" w:eastAsia="zh-CN"/>
        </w:rPr>
      </w:pPr>
      <w:r>
        <w:rPr>
          <w:rFonts w:hint="eastAsia" w:eastAsia="宋体"/>
          <w:b/>
          <w:bCs/>
          <w:lang w:val="en-US" w:eastAsia="zh-CN"/>
        </w:rPr>
        <w:t>Proposal 13:</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pStyle w:val="3"/>
        <w:keepNext/>
        <w:keepLines/>
        <w:pageBreakBefore w:val="0"/>
        <w:widowControl/>
        <w:numPr>
          <w:ilvl w:val="-1"/>
          <w:numId w:val="0"/>
        </w:numPr>
        <w:kinsoku/>
        <w:wordWrap/>
        <w:overflowPunct/>
        <w:topLinePunct w:val="0"/>
        <w:autoSpaceDE/>
        <w:autoSpaceDN/>
        <w:bidi w:val="0"/>
        <w:adjustRightInd/>
        <w:snapToGrid/>
        <w:spacing w:before="240" w:after="60" w:line="240" w:lineRule="auto"/>
        <w:ind w:left="0" w:leftChars="0" w:right="0" w:rightChars="0" w:firstLine="0" w:firstLineChars="0"/>
        <w:jc w:val="left"/>
        <w:textAlignment w:val="auto"/>
        <w:outlineLvl w:val="1"/>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4.4 LBT for PRACH</w:t>
      </w:r>
    </w:p>
    <w:p>
      <w:pPr>
        <w:spacing w:before="180" w:beforeLines="0" w:afterLines="0" w:line="240" w:lineRule="auto"/>
        <w:jc w:val="both"/>
        <w:rPr>
          <w:rFonts w:eastAsia="宋体"/>
          <w:lang w:val="en-US" w:eastAsia="zh-CN"/>
        </w:rPr>
      </w:pPr>
      <w:r>
        <w:rPr>
          <w:rFonts w:eastAsia="宋体"/>
          <w:lang w:val="en-US" w:eastAsia="zh-CN"/>
        </w:rPr>
        <w:t>In order to improve the probability of successful random access procedure and consider fairness coexistence with other systems such as Wi-Fi, Cat-4 LBT with priority class 1 or 2 should be considered. In particular, for two-step RACH scenarios, Msg A may include Msg 1 and Msg 3 that belong to the four-step RACH procedure. The total duration of Msg A in the time domain may exceed 1 ms. It is inappropriate to adapt a DRS-like LBT mechanism, e.g., Cat 2 LBT. In summary, Cat 4 LBT with priority class 1 or 2 should be considered for four-step RACH or two-step RACH.</w:t>
      </w:r>
    </w:p>
    <w:p>
      <w:pPr>
        <w:numPr>
          <w:ilvl w:val="-1"/>
          <w:numId w:val="0"/>
        </w:numPr>
        <w:spacing w:after="60" w:afterLines="-2147483648" w:line="240" w:lineRule="auto"/>
        <w:jc w:val="both"/>
        <w:rPr>
          <w:rFonts w:hint="eastAsia"/>
          <w:lang w:val="en-US" w:eastAsia="zh-CN"/>
        </w:rPr>
      </w:pPr>
      <w:r>
        <w:rPr>
          <w:rFonts w:hint="eastAsia" w:eastAsia="宋体"/>
          <w:b/>
          <w:bCs/>
          <w:lang w:val="en-US" w:eastAsia="zh-CN"/>
        </w:rPr>
        <w:t xml:space="preserve">Proposal 14: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Msg 1 in four-step RACH or Msg A in two-step RACH.</w:t>
      </w:r>
    </w:p>
    <w:bookmarkEnd w:id="1"/>
    <w:bookmarkEnd w:id="2"/>
    <w:bookmarkEnd w:id="3"/>
    <w:bookmarkEnd w:id="4"/>
    <w:p>
      <w:pPr>
        <w:pStyle w:val="2"/>
        <w:ind w:left="448" w:hanging="448"/>
        <w:jc w:val="both"/>
        <w:rPr>
          <w:rFonts w:eastAsia="宋体" w:cs="Arial"/>
          <w:b/>
          <w:sz w:val="28"/>
          <w:szCs w:val="28"/>
          <w:lang w:eastAsia="zh-CN"/>
        </w:rPr>
      </w:pPr>
      <w:bookmarkStart w:id="5" w:name="IDX-CHP-8-0992"/>
      <w:bookmarkEnd w:id="5"/>
      <w:bookmarkStart w:id="6" w:name="IDX-CHP-8-0996"/>
      <w:bookmarkEnd w:id="6"/>
      <w:bookmarkStart w:id="7" w:name="IDX-CHP-8-0994"/>
      <w:bookmarkEnd w:id="7"/>
      <w:bookmarkStart w:id="8" w:name="IDX-CHP-8-0993"/>
      <w:bookmarkEnd w:id="8"/>
      <w:bookmarkStart w:id="9" w:name="IDX-CHP-8-0995"/>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remaining issues of enhancements of initial access procedure for NR-U. </w:t>
      </w:r>
      <w:r>
        <w:rPr>
          <w:rFonts w:eastAsia="宋体"/>
          <w:lang w:val="en-US" w:eastAsia="zh-CN"/>
        </w:rPr>
        <w:t>We have the following</w:t>
      </w:r>
      <w:r>
        <w:rPr>
          <w:rFonts w:hint="eastAsia" w:eastAsia="宋体"/>
          <w:lang w:val="en-US" w:eastAsia="zh-CN"/>
        </w:rPr>
        <w:t xml:space="preserve"> </w:t>
      </w:r>
      <w:r>
        <w:rPr>
          <w:rFonts w:eastAsia="宋体"/>
          <w:lang w:val="en-US" w:eastAsia="zh-CN"/>
        </w:rPr>
        <w:t>proposal</w:t>
      </w:r>
      <w:r>
        <w:rPr>
          <w:rFonts w:hint="eastAsia" w:eastAsia="宋体"/>
          <w:lang w:val="en-US" w:eastAsia="zh-CN"/>
        </w:rPr>
        <w:t>s</w:t>
      </w:r>
      <w:r>
        <w:rPr>
          <w:rFonts w:eastAsia="宋体"/>
          <w:lang w:val="en-US" w:eastAsia="zh-CN"/>
        </w:rPr>
        <w:t>:</w:t>
      </w:r>
    </w:p>
    <w:p>
      <w:pPr>
        <w:numPr>
          <w:ilvl w:val="-1"/>
          <w:numId w:val="0"/>
        </w:numPr>
        <w:spacing w:after="180" w:line="259" w:lineRule="auto"/>
        <w:ind w:left="0" w:firstLine="0"/>
        <w:jc w:val="both"/>
        <w:rPr>
          <w:rFonts w:hint="eastAsia" w:eastAsia="宋体"/>
          <w:i/>
          <w:iCs/>
          <w:highlight w:val="none"/>
          <w:lang w:val="en-US" w:eastAsia="zh-CN"/>
        </w:rPr>
      </w:pPr>
      <w:r>
        <w:rPr>
          <w:b/>
          <w:snapToGrid w:val="0"/>
          <w:highlight w:val="none"/>
        </w:rPr>
        <w:t xml:space="preserve">Proposal </w:t>
      </w:r>
      <w:r>
        <w:rPr>
          <w:b/>
          <w:snapToGrid w:val="0"/>
          <w:highlight w:val="none"/>
        </w:rPr>
        <w:fldChar w:fldCharType="begin"/>
      </w:r>
      <w:r>
        <w:rPr>
          <w:b/>
          <w:snapToGrid w:val="0"/>
          <w:highlight w:val="none"/>
        </w:rPr>
        <w:instrText xml:space="preserve"> seq prop </w:instrText>
      </w:r>
      <w:r>
        <w:rPr>
          <w:b/>
          <w:snapToGrid w:val="0"/>
          <w:highlight w:val="none"/>
        </w:rPr>
        <w:fldChar w:fldCharType="separate"/>
      </w:r>
      <w:r>
        <w:rPr>
          <w:rFonts w:hint="eastAsia" w:eastAsia="宋体"/>
          <w:b/>
          <w:snapToGrid w:val="0"/>
          <w:highlight w:val="none"/>
          <w:lang w:val="en-US" w:eastAsia="zh-CN"/>
        </w:rPr>
        <w:t>1</w:t>
      </w:r>
      <w:r>
        <w:rPr>
          <w:b/>
          <w:snapToGrid w:val="0"/>
          <w:highlight w:val="none"/>
        </w:rPr>
        <w:fldChar w:fldCharType="end"/>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In NR-U, RMSI is preferred for carrying parameter Q</w:t>
      </w:r>
      <w:r>
        <w:rPr>
          <w:rFonts w:hint="eastAsia" w:eastAsia="宋体"/>
          <w:i/>
          <w:iCs/>
          <w:highlight w:val="none"/>
          <w:lang w:val="en-US" w:eastAsia="zh-CN"/>
        </w:rPr>
        <w:t>.</w:t>
      </w:r>
    </w:p>
    <w:p>
      <w:pPr>
        <w:numPr>
          <w:ilvl w:val="-1"/>
          <w:numId w:val="0"/>
        </w:numPr>
        <w:spacing w:after="180" w:line="259" w:lineRule="auto"/>
        <w:ind w:left="0" w:firstLine="0"/>
        <w:jc w:val="both"/>
        <w:rPr>
          <w:rFonts w:hint="eastAsia" w:eastAsia="宋体"/>
          <w:i/>
          <w:iCs/>
          <w:lang w:val="en-US" w:eastAsia="zh-CN"/>
        </w:rPr>
      </w:pPr>
      <w:r>
        <w:rPr>
          <w:b/>
          <w:snapToGrid w:val="0"/>
          <w:highlight w:val="none"/>
        </w:rPr>
        <w:t xml:space="preserve">Proposal </w:t>
      </w:r>
      <w:r>
        <w:rPr>
          <w:rFonts w:hint="eastAsia" w:eastAsia="宋体"/>
          <w:b/>
          <w:snapToGrid w:val="0"/>
          <w:highlight w:val="none"/>
          <w:lang w:val="en-US" w:eastAsia="zh-CN"/>
        </w:rPr>
        <w:t>2</w:t>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 xml:space="preserve">In NR-U, </w:t>
      </w:r>
      <w:r>
        <w:rPr>
          <w:rFonts w:hint="default" w:eastAsia="宋体"/>
          <w:i/>
          <w:iCs/>
          <w:lang w:val="en-US" w:eastAsia="zh-CN"/>
        </w:rPr>
        <w:t>ssb-PositionsInBurst IE</w:t>
      </w:r>
      <w:r>
        <w:rPr>
          <w:rFonts w:hint="eastAsia" w:eastAsia="宋体"/>
          <w:i/>
          <w:iCs/>
          <w:lang w:val="en-US" w:eastAsia="zh-CN"/>
        </w:rPr>
        <w:t xml:space="preserve"> is used to indicate beam indices</w:t>
      </w:r>
      <w:r>
        <w:rPr>
          <w:i/>
          <w:iCs/>
        </w:rPr>
        <w:t xml:space="preserve"> (</w:t>
      </w:r>
      <w:r>
        <w:rPr>
          <w:rFonts w:hint="eastAsia" w:eastAsia="宋体"/>
          <w:i/>
          <w:iCs/>
          <w:lang w:val="en-US" w:eastAsia="zh-CN"/>
        </w:rPr>
        <w:t xml:space="preserve">one beam corresponds to </w:t>
      </w:r>
      <w:r>
        <w:rPr>
          <w:i/>
          <w:iCs/>
        </w:rPr>
        <w:t>a set of SSBs with same QCL)</w:t>
      </w:r>
      <w:r>
        <w:rPr>
          <w:rFonts w:hint="eastAsia" w:eastAsia="宋体"/>
          <w:i/>
          <w:iCs/>
          <w:lang w:val="en-US" w:eastAsia="zh-CN"/>
        </w:rPr>
        <w:t>.</w:t>
      </w:r>
    </w:p>
    <w:p>
      <w:pPr>
        <w:numPr>
          <w:ilvl w:val="-1"/>
          <w:numId w:val="0"/>
        </w:numPr>
        <w:spacing w:after="180" w:line="259" w:lineRule="auto"/>
        <w:ind w:left="0" w:firstLine="0"/>
        <w:jc w:val="both"/>
        <w:rPr>
          <w:rFonts w:hint="eastAsia" w:eastAsia="宋体"/>
          <w:i/>
          <w:iCs/>
          <w:lang w:val="en-US" w:eastAsia="zh-CN"/>
        </w:rPr>
      </w:pPr>
      <w:r>
        <w:rPr>
          <w:b/>
          <w:snapToGrid w:val="0"/>
          <w:highlight w:val="none"/>
        </w:rPr>
        <w:t xml:space="preserve">Proposal </w:t>
      </w:r>
      <w:r>
        <w:rPr>
          <w:rFonts w:hint="eastAsia" w:eastAsia="宋体"/>
          <w:b/>
          <w:snapToGrid w:val="0"/>
          <w:highlight w:val="none"/>
          <w:lang w:val="en-US" w:eastAsia="zh-CN"/>
        </w:rPr>
        <w:t>3</w:t>
      </w:r>
      <w:r>
        <w:rPr>
          <w:b/>
          <w:snapToGrid w:val="0"/>
          <w:highlight w:val="none"/>
        </w:rPr>
        <w:t>:</w:t>
      </w:r>
      <w:r>
        <w:rPr>
          <w:b w:val="0"/>
          <w:bCs/>
          <w:i/>
          <w:iCs/>
          <w:snapToGrid w:val="0"/>
          <w:highlight w:val="none"/>
        </w:rPr>
        <w:t xml:space="preserve"> </w:t>
      </w:r>
      <w:r>
        <w:rPr>
          <w:rFonts w:hint="eastAsia" w:eastAsia="宋体"/>
          <w:b w:val="0"/>
          <w:bCs/>
          <w:i/>
          <w:iCs/>
          <w:snapToGrid w:val="0"/>
          <w:highlight w:val="none"/>
          <w:lang w:val="en-US" w:eastAsia="zh-CN"/>
        </w:rPr>
        <w:t xml:space="preserve">In NR-U, </w:t>
      </w:r>
      <w:r>
        <w:rPr>
          <w:rFonts w:hint="eastAsia" w:eastAsia="宋体"/>
          <w:i/>
          <w:iCs/>
          <w:lang w:val="en-US" w:eastAsia="zh-CN"/>
        </w:rPr>
        <w:t xml:space="preserve">UE should </w:t>
      </w:r>
      <w:r>
        <w:rPr>
          <w:i/>
          <w:iCs/>
          <w:szCs w:val="20"/>
        </w:rPr>
        <w:t xml:space="preserve">perform rate-matching for all of SS/PBCH block candidate position indices QCLed with actually </w:t>
      </w:r>
      <w:r>
        <w:rPr>
          <w:rFonts w:hint="eastAsia" w:eastAsia="宋体"/>
          <w:i/>
          <w:iCs/>
          <w:szCs w:val="20"/>
          <w:lang w:val="en-US" w:eastAsia="zh-CN"/>
        </w:rPr>
        <w:t>beam</w:t>
      </w:r>
      <w:r>
        <w:rPr>
          <w:i/>
          <w:iCs/>
          <w:szCs w:val="20"/>
        </w:rPr>
        <w:t xml:space="preserve"> indices that are provided by ssb-PositionsInBurst</w:t>
      </w:r>
      <w:r>
        <w:rPr>
          <w:rFonts w:hint="eastAsia" w:eastAsia="宋体"/>
          <w:i/>
          <w:iCs/>
          <w:szCs w:val="20"/>
          <w:lang w:val="en-US" w:eastAsia="zh-CN"/>
        </w:rPr>
        <w:t>.</w:t>
      </w:r>
    </w:p>
    <w:p>
      <w:pPr>
        <w:numPr>
          <w:ilvl w:val="-1"/>
          <w:numId w:val="0"/>
        </w:numPr>
        <w:spacing w:after="180" w:line="259" w:lineRule="auto"/>
        <w:ind w:left="0" w:firstLine="0"/>
        <w:jc w:val="both"/>
        <w:rPr>
          <w:rFonts w:hint="default" w:eastAsia="宋体"/>
          <w:i/>
          <w:iCs/>
          <w:lang w:val="en-US" w:eastAsia="zh-CN"/>
        </w:rPr>
      </w:pPr>
      <w:r>
        <w:rPr>
          <w:b/>
          <w:snapToGrid w:val="0"/>
        </w:rPr>
        <w:t xml:space="preserve">Proposal </w:t>
      </w:r>
      <w:r>
        <w:rPr>
          <w:rFonts w:hint="eastAsia" w:eastAsia="宋体"/>
          <w:b/>
          <w:snapToGrid w:val="0"/>
          <w:lang w:val="en-US" w:eastAsia="zh-CN"/>
        </w:rPr>
        <w:t>4</w:t>
      </w:r>
      <w:r>
        <w:rPr>
          <w:b/>
          <w:snapToGrid w:val="0"/>
        </w:rPr>
        <w:t>:</w:t>
      </w:r>
      <w:r>
        <w:rPr>
          <w:b w:val="0"/>
          <w:bCs/>
          <w:i/>
          <w:iCs/>
          <w:snapToGrid w:val="0"/>
        </w:rPr>
        <w:t xml:space="preserve"> </w:t>
      </w:r>
      <w:r>
        <w:rPr>
          <w:rFonts w:hint="eastAsia" w:eastAsia="宋体"/>
          <w:b w:val="0"/>
          <w:bCs/>
          <w:i/>
          <w:iCs/>
          <w:snapToGrid w:val="0"/>
          <w:lang w:val="en-US" w:eastAsia="zh-CN"/>
        </w:rPr>
        <w:t>For NR-U, th</w:t>
      </w:r>
      <w:r>
        <w:rPr>
          <w:rFonts w:hint="eastAsia" w:eastAsia="宋体"/>
          <w:i/>
          <w:iCs/>
          <w:lang w:val="en-US" w:eastAsia="zh-CN"/>
        </w:rPr>
        <w:t>e time-domain parameters should be reuse LTE-LAA as much as possible, except for measurement duration that should support more values e.g. 140 OFDM symbols for 30 kHz subcarrier spacing.</w:t>
      </w:r>
    </w:p>
    <w:p>
      <w:pPr>
        <w:numPr>
          <w:ilvl w:val="-1"/>
          <w:numId w:val="0"/>
        </w:numPr>
        <w:spacing w:after="180" w:line="259" w:lineRule="auto"/>
        <w:ind w:left="0" w:firstLine="0"/>
        <w:jc w:val="both"/>
        <w:rPr>
          <w:rFonts w:hint="eastAsia" w:eastAsia="宋体"/>
          <w:b w:val="0"/>
          <w:bCs/>
          <w:i/>
          <w:iCs/>
          <w:snapToGrid w:val="0"/>
          <w:lang w:val="en-US" w:eastAsia="zh-CN"/>
        </w:rPr>
      </w:pPr>
      <w:r>
        <w:rPr>
          <w:b/>
          <w:snapToGrid w:val="0"/>
        </w:rPr>
        <w:t xml:space="preserve">Proposal </w:t>
      </w:r>
      <w:r>
        <w:rPr>
          <w:rFonts w:hint="eastAsia" w:eastAsia="宋体"/>
          <w:b/>
          <w:snapToGrid w:val="0"/>
          <w:lang w:val="en-US" w:eastAsia="zh-CN"/>
        </w:rPr>
        <w:t>5</w:t>
      </w:r>
      <w:r>
        <w:rPr>
          <w:b/>
          <w:snapToGrid w:val="0"/>
        </w:rPr>
        <w:t>:</w:t>
      </w:r>
      <w:r>
        <w:rPr>
          <w:b w:val="0"/>
          <w:bCs/>
          <w:i/>
          <w:iCs/>
          <w:snapToGrid w:val="0"/>
        </w:rPr>
        <w:t xml:space="preserve"> </w:t>
      </w:r>
      <w:r>
        <w:rPr>
          <w:rFonts w:hint="eastAsia" w:eastAsia="宋体"/>
          <w:b w:val="0"/>
          <w:bCs/>
          <w:i/>
          <w:iCs/>
          <w:snapToGrid w:val="0"/>
          <w:lang w:val="en-US" w:eastAsia="zh-CN"/>
        </w:rPr>
        <w:t>No need to support units other than LBT  bandwidths for NR-U.</w:t>
      </w:r>
    </w:p>
    <w:p>
      <w:pPr>
        <w:widowControl w:val="0"/>
        <w:numPr>
          <w:ilvl w:val="255"/>
          <w:numId w:val="0"/>
        </w:numPr>
        <w:spacing w:line="240" w:lineRule="auto"/>
        <w:jc w:val="both"/>
        <w:rPr>
          <w:rFonts w:hint="default" w:eastAsia="宋体"/>
          <w:b w:val="0"/>
          <w:bCs/>
          <w:i/>
          <w:iCs/>
          <w:snapToGrid w:val="0"/>
          <w:lang w:val="en-US" w:eastAsia="zh-CN"/>
        </w:rPr>
      </w:pPr>
      <w:r>
        <w:rPr>
          <w:rFonts w:eastAsia="宋体"/>
          <w:b/>
          <w:lang w:val="en-US" w:eastAsia="zh-CN"/>
        </w:rPr>
        <w:t xml:space="preserve">Proposal </w:t>
      </w:r>
      <w:r>
        <w:rPr>
          <w:rFonts w:hint="eastAsia" w:eastAsia="宋体"/>
          <w:b/>
          <w:lang w:val="en-US" w:eastAsia="zh-CN"/>
        </w:rPr>
        <w:t>6</w:t>
      </w:r>
      <w:r>
        <w:rPr>
          <w:rFonts w:eastAsia="宋体"/>
          <w:b/>
          <w:lang w:val="en-US" w:eastAsia="zh-CN"/>
        </w:rPr>
        <w:t>:</w:t>
      </w:r>
      <w:r>
        <w:rPr>
          <w:rFonts w:hint="eastAsia" w:eastAsia="宋体"/>
          <w:b/>
          <w:lang w:val="en-US" w:eastAsia="zh-CN"/>
        </w:rPr>
        <w:t xml:space="preserve"> </w:t>
      </w:r>
      <w:r>
        <w:rPr>
          <w:rFonts w:hint="eastAsia" w:eastAsia="宋体"/>
          <w:bCs/>
          <w:i/>
          <w:iCs/>
          <w:lang w:val="en-US" w:eastAsia="zh-CN"/>
        </w:rPr>
        <w:t xml:space="preserve">A new mechanism that the number of consecutive DL LBT failures reaches a threshold in a given period can be introduced to trigger RRC re-establishment procedure. </w:t>
      </w:r>
    </w:p>
    <w:p>
      <w:pPr>
        <w:numPr>
          <w:ilvl w:val="0"/>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RACH resources can be configured over multiple LBT sub-bands within a BWP where each RACH resource is limited within an LBT sub-band.</w:t>
      </w:r>
    </w:p>
    <w:p>
      <w:pPr>
        <w:numPr>
          <w:ilvl w:val="0"/>
          <w:numId w:val="0"/>
        </w:numPr>
        <w:spacing w:line="240" w:lineRule="auto"/>
        <w:jc w:val="both"/>
        <w:rPr>
          <w:rFonts w:eastAsia="宋体"/>
          <w:bCs/>
          <w:lang w:val="en-US" w:eastAsia="zh-CN"/>
        </w:rPr>
      </w:pPr>
      <w:r>
        <w:rPr>
          <w:rFonts w:hint="eastAsia" w:eastAsia="宋体"/>
          <w:b/>
          <w:lang w:val="en-US" w:eastAsia="zh-CN"/>
        </w:rPr>
        <w:t>Proposal 8:</w:t>
      </w:r>
      <w:r>
        <w:rPr>
          <w:rFonts w:hint="eastAsia" w:eastAsia="宋体"/>
          <w:bCs/>
          <w:i/>
          <w:iCs/>
          <w:lang w:val="en-US" w:eastAsia="zh-CN"/>
        </w:rPr>
        <w:t xml:space="preserve"> Scheduling of PRACH resources via DCI (option2-a) can be considered for NR-U.</w:t>
      </w:r>
    </w:p>
    <w:p>
      <w:pPr>
        <w:numPr>
          <w:ilvl w:val="0"/>
          <w:numId w:val="0"/>
        </w:numPr>
        <w:spacing w:line="240" w:lineRule="auto"/>
        <w:jc w:val="both"/>
        <w:rPr>
          <w:rFonts w:eastAsia="宋体"/>
          <w:bCs/>
          <w:lang w:val="en-US" w:eastAsia="zh-CN"/>
        </w:rPr>
      </w:pPr>
      <w:r>
        <w:rPr>
          <w:rFonts w:hint="eastAsia" w:eastAsia="宋体"/>
          <w:b/>
          <w:lang w:val="en-US" w:eastAsia="zh-CN"/>
        </w:rPr>
        <w:t>Proposal 9:</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10:</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11:</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12:</w:t>
      </w:r>
      <w:r>
        <w:rPr>
          <w:rFonts w:hint="eastAsia" w:eastAsia="宋体"/>
          <w:bCs/>
          <w:i/>
          <w:iCs/>
          <w:lang w:val="en-US" w:eastAsia="zh-CN"/>
        </w:rPr>
        <w:t xml:space="preserve"> Group wise SSB-to-RO mapping by frequency first-time second manner can be achieved by existing Rel-15 NR design.</w:t>
      </w:r>
    </w:p>
    <w:p>
      <w:pPr>
        <w:keepNext w:val="0"/>
        <w:keepLines w:val="0"/>
        <w:pageBreakBefore w:val="0"/>
        <w:widowControl/>
        <w:numPr>
          <w:ilvl w:val="0"/>
          <w:numId w:val="0"/>
        </w:numPr>
        <w:kinsoku/>
        <w:wordWrap/>
        <w:overflowPunct/>
        <w:topLinePunct w:val="0"/>
        <w:autoSpaceDE/>
        <w:autoSpaceDN/>
        <w:bidi w:val="0"/>
        <w:adjustRightInd/>
        <w:snapToGrid/>
        <w:spacing w:after="180" w:line="240" w:lineRule="auto"/>
        <w:ind w:left="0" w:firstLine="0"/>
        <w:jc w:val="both"/>
        <w:textAlignment w:val="auto"/>
        <w:outlineLvl w:val="9"/>
        <w:rPr>
          <w:rFonts w:eastAsia="宋体"/>
          <w:bCs/>
          <w:i/>
          <w:iCs/>
          <w:lang w:val="en-US" w:eastAsia="zh-CN"/>
        </w:rPr>
      </w:pPr>
      <w:r>
        <w:rPr>
          <w:rFonts w:hint="eastAsia" w:eastAsia="宋体"/>
          <w:b/>
          <w:bCs/>
          <w:lang w:val="en-US" w:eastAsia="zh-CN"/>
        </w:rPr>
        <w:t>Proposal 13:</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keepNext w:val="0"/>
        <w:keepLines w:val="0"/>
        <w:pageBreakBefore w:val="0"/>
        <w:widowControl/>
        <w:kinsoku/>
        <w:wordWrap/>
        <w:overflowPunct/>
        <w:topLinePunct w:val="0"/>
        <w:autoSpaceDE/>
        <w:autoSpaceDN/>
        <w:bidi w:val="0"/>
        <w:adjustRightInd/>
        <w:snapToGrid/>
        <w:spacing w:after="180" w:line="240" w:lineRule="auto"/>
        <w:jc w:val="both"/>
        <w:textAlignment w:val="auto"/>
        <w:outlineLvl w:val="9"/>
        <w:rPr>
          <w:rFonts w:hint="eastAsia" w:eastAsia="宋体"/>
          <w:i/>
          <w:iCs/>
          <w:lang w:val="en-US" w:eastAsia="zh-CN"/>
        </w:rPr>
      </w:pPr>
      <w:r>
        <w:rPr>
          <w:rFonts w:hint="eastAsia" w:eastAsia="宋体"/>
          <w:b/>
          <w:bCs/>
          <w:lang w:val="en-US" w:eastAsia="zh-CN"/>
        </w:rPr>
        <w:t xml:space="preserve">Proposal 14: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Msg 1 in four-step RACH or Msg A in two-step RACH.</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8"/>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3GPP, RP-191581, Guidance on essential functionality for NR-U, Qualcomm, RAN#84, June 2019</w:t>
      </w:r>
    </w:p>
    <w:p>
      <w:pPr>
        <w:widowControl w:val="0"/>
        <w:numPr>
          <w:ilvl w:val="0"/>
          <w:numId w:val="18"/>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18"/>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#98bis_v0.1, October, 2019</w:t>
      </w:r>
    </w:p>
    <w:p>
      <w:pPr>
        <w:widowControl w:val="0"/>
        <w:numPr>
          <w:ilvl w:val="-1"/>
          <w:numId w:val="0"/>
        </w:numPr>
        <w:autoSpaceDE w:val="0"/>
        <w:autoSpaceDN w:val="0"/>
        <w:adjustRightInd w:val="0"/>
        <w:spacing w:after="0" w:line="276" w:lineRule="auto"/>
        <w:ind w:left="0" w:firstLine="0"/>
        <w:jc w:val="both"/>
        <w:rPr>
          <w:rFonts w:hint="eastAsia" w:eastAsia="宋体"/>
          <w:sz w:val="20"/>
          <w:szCs w:val="20"/>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473473"/>
    <w:multiLevelType w:val="multilevel"/>
    <w:tmpl w:val="0447347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1C01AD9"/>
    <w:multiLevelType w:val="multilevel"/>
    <w:tmpl w:val="11C01A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D0605BB"/>
    <w:multiLevelType w:val="multilevel"/>
    <w:tmpl w:val="2D0605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7F2066"/>
    <w:multiLevelType w:val="multilevel"/>
    <w:tmpl w:val="317F20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4B044FA"/>
    <w:multiLevelType w:val="multilevel"/>
    <w:tmpl w:val="44B044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6233567"/>
    <w:multiLevelType w:val="multilevel"/>
    <w:tmpl w:val="56233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21B3A93"/>
    <w:multiLevelType w:val="multilevel"/>
    <w:tmpl w:val="721B3A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8C162E8"/>
    <w:multiLevelType w:val="multilevel"/>
    <w:tmpl w:val="78C162E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AF26610"/>
    <w:multiLevelType w:val="multilevel"/>
    <w:tmpl w:val="7AF26610"/>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7">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3"/>
  </w:num>
  <w:num w:numId="4">
    <w:abstractNumId w:val="17"/>
  </w:num>
  <w:num w:numId="5">
    <w:abstractNumId w:val="5"/>
  </w:num>
  <w:num w:numId="6">
    <w:abstractNumId w:val="11"/>
  </w:num>
  <w:num w:numId="7">
    <w:abstractNumId w:val="8"/>
  </w:num>
  <w:num w:numId="8">
    <w:abstractNumId w:val="2"/>
  </w:num>
  <w:num w:numId="9">
    <w:abstractNumId w:val="1"/>
  </w:num>
  <w:num w:numId="10">
    <w:abstractNumId w:val="16"/>
  </w:num>
  <w:num w:numId="11">
    <w:abstractNumId w:val="6"/>
  </w:num>
  <w:num w:numId="12">
    <w:abstractNumId w:val="15"/>
  </w:num>
  <w:num w:numId="13">
    <w:abstractNumId w:val="9"/>
  </w:num>
  <w:num w:numId="14">
    <w:abstractNumId w:val="7"/>
  </w:num>
  <w:num w:numId="15">
    <w:abstractNumId w:val="4"/>
  </w:num>
  <w:num w:numId="16">
    <w:abstractNumId w:val="12"/>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026"/>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2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1FA4"/>
    <w:rsid w:val="01100347"/>
    <w:rsid w:val="01120C0E"/>
    <w:rsid w:val="01181D5F"/>
    <w:rsid w:val="011A629C"/>
    <w:rsid w:val="01201039"/>
    <w:rsid w:val="01215A1B"/>
    <w:rsid w:val="01275A84"/>
    <w:rsid w:val="013644DB"/>
    <w:rsid w:val="013F7A91"/>
    <w:rsid w:val="0142023B"/>
    <w:rsid w:val="01445DE5"/>
    <w:rsid w:val="01452EAB"/>
    <w:rsid w:val="014538E3"/>
    <w:rsid w:val="014C2937"/>
    <w:rsid w:val="015B5914"/>
    <w:rsid w:val="015C3B59"/>
    <w:rsid w:val="015F33E9"/>
    <w:rsid w:val="01616672"/>
    <w:rsid w:val="01627245"/>
    <w:rsid w:val="016403DE"/>
    <w:rsid w:val="016A72E2"/>
    <w:rsid w:val="0171781D"/>
    <w:rsid w:val="017524EA"/>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545063"/>
    <w:rsid w:val="025B5104"/>
    <w:rsid w:val="026B1A7D"/>
    <w:rsid w:val="026D3C79"/>
    <w:rsid w:val="026D6177"/>
    <w:rsid w:val="026F592F"/>
    <w:rsid w:val="02716C77"/>
    <w:rsid w:val="02821AE1"/>
    <w:rsid w:val="028514D4"/>
    <w:rsid w:val="028C0FF3"/>
    <w:rsid w:val="028F7F84"/>
    <w:rsid w:val="029415F5"/>
    <w:rsid w:val="02A078F6"/>
    <w:rsid w:val="02AC1758"/>
    <w:rsid w:val="02B27C3D"/>
    <w:rsid w:val="02B752C1"/>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C4C98"/>
    <w:rsid w:val="03CD738D"/>
    <w:rsid w:val="03FC39D8"/>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C9750E"/>
    <w:rsid w:val="04D12DFB"/>
    <w:rsid w:val="04DE2037"/>
    <w:rsid w:val="04DE5A9D"/>
    <w:rsid w:val="04E4309F"/>
    <w:rsid w:val="04E87AC6"/>
    <w:rsid w:val="04EB52D7"/>
    <w:rsid w:val="04EC1F4A"/>
    <w:rsid w:val="04EF4836"/>
    <w:rsid w:val="04F06D1D"/>
    <w:rsid w:val="04F10DD5"/>
    <w:rsid w:val="04F10E3F"/>
    <w:rsid w:val="04F13BE8"/>
    <w:rsid w:val="04FA391F"/>
    <w:rsid w:val="050113F8"/>
    <w:rsid w:val="05123D9D"/>
    <w:rsid w:val="051B7FC3"/>
    <w:rsid w:val="052D6178"/>
    <w:rsid w:val="05334B43"/>
    <w:rsid w:val="05342C69"/>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476B0"/>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755590"/>
    <w:rsid w:val="06857F70"/>
    <w:rsid w:val="06905BE1"/>
    <w:rsid w:val="06A635A6"/>
    <w:rsid w:val="06B51CBB"/>
    <w:rsid w:val="06B530F2"/>
    <w:rsid w:val="06C1240E"/>
    <w:rsid w:val="06CB725E"/>
    <w:rsid w:val="06D40F3E"/>
    <w:rsid w:val="06DE012B"/>
    <w:rsid w:val="06E1290F"/>
    <w:rsid w:val="06F05606"/>
    <w:rsid w:val="06F1051E"/>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2BAD"/>
    <w:rsid w:val="07787116"/>
    <w:rsid w:val="077D592D"/>
    <w:rsid w:val="077E1D74"/>
    <w:rsid w:val="07826DCD"/>
    <w:rsid w:val="07871DCC"/>
    <w:rsid w:val="07881075"/>
    <w:rsid w:val="07897522"/>
    <w:rsid w:val="078B07F9"/>
    <w:rsid w:val="078E4F4B"/>
    <w:rsid w:val="079B03D9"/>
    <w:rsid w:val="07CA3B45"/>
    <w:rsid w:val="07CE47C1"/>
    <w:rsid w:val="07CF2715"/>
    <w:rsid w:val="07D561E0"/>
    <w:rsid w:val="07D957F8"/>
    <w:rsid w:val="07E477A4"/>
    <w:rsid w:val="07EF467D"/>
    <w:rsid w:val="07F7195F"/>
    <w:rsid w:val="07FE240E"/>
    <w:rsid w:val="080446AE"/>
    <w:rsid w:val="08182CEA"/>
    <w:rsid w:val="081B53E4"/>
    <w:rsid w:val="08226C64"/>
    <w:rsid w:val="083C0EB3"/>
    <w:rsid w:val="083C1EDD"/>
    <w:rsid w:val="083F094C"/>
    <w:rsid w:val="0844092B"/>
    <w:rsid w:val="084745D0"/>
    <w:rsid w:val="08476D2A"/>
    <w:rsid w:val="084D185F"/>
    <w:rsid w:val="084E1A17"/>
    <w:rsid w:val="085752B0"/>
    <w:rsid w:val="0862758A"/>
    <w:rsid w:val="08685B88"/>
    <w:rsid w:val="086E5972"/>
    <w:rsid w:val="08764146"/>
    <w:rsid w:val="08792428"/>
    <w:rsid w:val="088774D1"/>
    <w:rsid w:val="088B4E0B"/>
    <w:rsid w:val="088E6842"/>
    <w:rsid w:val="089627D2"/>
    <w:rsid w:val="089664A4"/>
    <w:rsid w:val="089A3A39"/>
    <w:rsid w:val="089A7498"/>
    <w:rsid w:val="08A802F5"/>
    <w:rsid w:val="08B20EA3"/>
    <w:rsid w:val="08C447CA"/>
    <w:rsid w:val="08C96479"/>
    <w:rsid w:val="08CE4EAD"/>
    <w:rsid w:val="08D3677D"/>
    <w:rsid w:val="08D37301"/>
    <w:rsid w:val="08E279FE"/>
    <w:rsid w:val="08E31045"/>
    <w:rsid w:val="08E539A8"/>
    <w:rsid w:val="08ED7623"/>
    <w:rsid w:val="08FA74EA"/>
    <w:rsid w:val="090259BC"/>
    <w:rsid w:val="091B4D1A"/>
    <w:rsid w:val="091C027B"/>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2B12"/>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1090E"/>
    <w:rsid w:val="0B1543BB"/>
    <w:rsid w:val="0B184415"/>
    <w:rsid w:val="0B1E2B56"/>
    <w:rsid w:val="0B1F07E2"/>
    <w:rsid w:val="0B257548"/>
    <w:rsid w:val="0B2920B8"/>
    <w:rsid w:val="0B29467B"/>
    <w:rsid w:val="0B2A0FEC"/>
    <w:rsid w:val="0B331206"/>
    <w:rsid w:val="0B402491"/>
    <w:rsid w:val="0B420714"/>
    <w:rsid w:val="0B4732FD"/>
    <w:rsid w:val="0B4C3E35"/>
    <w:rsid w:val="0B4D2DF0"/>
    <w:rsid w:val="0B4E0560"/>
    <w:rsid w:val="0B6426D9"/>
    <w:rsid w:val="0B6D3EA9"/>
    <w:rsid w:val="0B7C3C97"/>
    <w:rsid w:val="0B851AE2"/>
    <w:rsid w:val="0B87327E"/>
    <w:rsid w:val="0B881D10"/>
    <w:rsid w:val="0B8879B3"/>
    <w:rsid w:val="0B8E203A"/>
    <w:rsid w:val="0B907D7F"/>
    <w:rsid w:val="0B972B9C"/>
    <w:rsid w:val="0B980AF4"/>
    <w:rsid w:val="0B995225"/>
    <w:rsid w:val="0B9C1A0A"/>
    <w:rsid w:val="0BA12484"/>
    <w:rsid w:val="0BA21CFC"/>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29610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584311"/>
    <w:rsid w:val="0D6515E7"/>
    <w:rsid w:val="0D6A576C"/>
    <w:rsid w:val="0D6B7281"/>
    <w:rsid w:val="0D7E5784"/>
    <w:rsid w:val="0D7F2643"/>
    <w:rsid w:val="0D834A5C"/>
    <w:rsid w:val="0D893991"/>
    <w:rsid w:val="0D8B2F40"/>
    <w:rsid w:val="0D8D5B9B"/>
    <w:rsid w:val="0D9A46AC"/>
    <w:rsid w:val="0D9A6805"/>
    <w:rsid w:val="0D9C16DD"/>
    <w:rsid w:val="0DAA1FB6"/>
    <w:rsid w:val="0DB9636E"/>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EFC4551"/>
    <w:rsid w:val="0F0011F0"/>
    <w:rsid w:val="0F057814"/>
    <w:rsid w:val="0F0F3003"/>
    <w:rsid w:val="0F1108EC"/>
    <w:rsid w:val="0F2239EF"/>
    <w:rsid w:val="0F256932"/>
    <w:rsid w:val="0F2A528D"/>
    <w:rsid w:val="0F2D4EDE"/>
    <w:rsid w:val="0F4178E7"/>
    <w:rsid w:val="0F5F55E6"/>
    <w:rsid w:val="0F5F6C1B"/>
    <w:rsid w:val="0F6013A0"/>
    <w:rsid w:val="0F605CB2"/>
    <w:rsid w:val="0F611FD6"/>
    <w:rsid w:val="0F68245D"/>
    <w:rsid w:val="0F696D5C"/>
    <w:rsid w:val="0F6E4F76"/>
    <w:rsid w:val="0F790909"/>
    <w:rsid w:val="0F7C7545"/>
    <w:rsid w:val="0F8D0B4E"/>
    <w:rsid w:val="0F8F102F"/>
    <w:rsid w:val="0F977F0D"/>
    <w:rsid w:val="0F9B1F63"/>
    <w:rsid w:val="0F9C6A83"/>
    <w:rsid w:val="0F9D6DC1"/>
    <w:rsid w:val="0FA416B8"/>
    <w:rsid w:val="0FA470F8"/>
    <w:rsid w:val="0FAA626B"/>
    <w:rsid w:val="0FAD279E"/>
    <w:rsid w:val="0FAE5D71"/>
    <w:rsid w:val="0FB44F3E"/>
    <w:rsid w:val="0FBF3418"/>
    <w:rsid w:val="0FC57BB8"/>
    <w:rsid w:val="0FCE27C7"/>
    <w:rsid w:val="0FD6188A"/>
    <w:rsid w:val="0FD64C50"/>
    <w:rsid w:val="0FE87C7B"/>
    <w:rsid w:val="0FEC5D00"/>
    <w:rsid w:val="0FED6FE8"/>
    <w:rsid w:val="0FF575F8"/>
    <w:rsid w:val="10000831"/>
    <w:rsid w:val="10014F51"/>
    <w:rsid w:val="1001731E"/>
    <w:rsid w:val="10027E49"/>
    <w:rsid w:val="100579D5"/>
    <w:rsid w:val="10063E75"/>
    <w:rsid w:val="10096658"/>
    <w:rsid w:val="101167F6"/>
    <w:rsid w:val="1026756C"/>
    <w:rsid w:val="102A5AF8"/>
    <w:rsid w:val="10301DF3"/>
    <w:rsid w:val="103126CA"/>
    <w:rsid w:val="10403528"/>
    <w:rsid w:val="104E4B56"/>
    <w:rsid w:val="1054045C"/>
    <w:rsid w:val="105A58C1"/>
    <w:rsid w:val="1079460F"/>
    <w:rsid w:val="10797EF4"/>
    <w:rsid w:val="107B64FB"/>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10104"/>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837615"/>
    <w:rsid w:val="13923E18"/>
    <w:rsid w:val="139532E4"/>
    <w:rsid w:val="13AD0DD5"/>
    <w:rsid w:val="13AD1AE9"/>
    <w:rsid w:val="13AF3393"/>
    <w:rsid w:val="13B151F8"/>
    <w:rsid w:val="13B9445A"/>
    <w:rsid w:val="13BF1D88"/>
    <w:rsid w:val="13C7474A"/>
    <w:rsid w:val="13DD4FBF"/>
    <w:rsid w:val="13E56669"/>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A7FDE"/>
    <w:rsid w:val="14EB2FB0"/>
    <w:rsid w:val="14EB6105"/>
    <w:rsid w:val="14FB3FAC"/>
    <w:rsid w:val="14FD6BC6"/>
    <w:rsid w:val="14FE014B"/>
    <w:rsid w:val="15175DD9"/>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9B7331"/>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42B3D"/>
    <w:rsid w:val="16351836"/>
    <w:rsid w:val="163539B0"/>
    <w:rsid w:val="163A4FD7"/>
    <w:rsid w:val="16513748"/>
    <w:rsid w:val="165D2B71"/>
    <w:rsid w:val="165E3186"/>
    <w:rsid w:val="165F7E37"/>
    <w:rsid w:val="1670292F"/>
    <w:rsid w:val="167A37D3"/>
    <w:rsid w:val="167D788D"/>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0AC1"/>
    <w:rsid w:val="17313BED"/>
    <w:rsid w:val="17327106"/>
    <w:rsid w:val="174B5EF9"/>
    <w:rsid w:val="174C4B92"/>
    <w:rsid w:val="174E4C34"/>
    <w:rsid w:val="175079B9"/>
    <w:rsid w:val="1758341D"/>
    <w:rsid w:val="1768007F"/>
    <w:rsid w:val="177413D0"/>
    <w:rsid w:val="177B41B9"/>
    <w:rsid w:val="1782784D"/>
    <w:rsid w:val="178D30C6"/>
    <w:rsid w:val="1791773D"/>
    <w:rsid w:val="17A6334D"/>
    <w:rsid w:val="17AE317B"/>
    <w:rsid w:val="17B765F2"/>
    <w:rsid w:val="17BD7ADF"/>
    <w:rsid w:val="17CD6181"/>
    <w:rsid w:val="17E20A76"/>
    <w:rsid w:val="17E20D1C"/>
    <w:rsid w:val="17F63104"/>
    <w:rsid w:val="18081B3B"/>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8677B"/>
    <w:rsid w:val="18BF29D7"/>
    <w:rsid w:val="18CD0201"/>
    <w:rsid w:val="18DB652F"/>
    <w:rsid w:val="18F6629D"/>
    <w:rsid w:val="19064029"/>
    <w:rsid w:val="19101D11"/>
    <w:rsid w:val="191635C1"/>
    <w:rsid w:val="1918502C"/>
    <w:rsid w:val="191B52E0"/>
    <w:rsid w:val="191E4B56"/>
    <w:rsid w:val="19286B71"/>
    <w:rsid w:val="19300B7F"/>
    <w:rsid w:val="19337DFF"/>
    <w:rsid w:val="193871F2"/>
    <w:rsid w:val="1939490B"/>
    <w:rsid w:val="19550A87"/>
    <w:rsid w:val="19681548"/>
    <w:rsid w:val="196B2163"/>
    <w:rsid w:val="19703B09"/>
    <w:rsid w:val="197536BB"/>
    <w:rsid w:val="197A6FDF"/>
    <w:rsid w:val="19806D56"/>
    <w:rsid w:val="19864661"/>
    <w:rsid w:val="199D28A5"/>
    <w:rsid w:val="19B50A5E"/>
    <w:rsid w:val="19B67057"/>
    <w:rsid w:val="19B8795D"/>
    <w:rsid w:val="19B92D9E"/>
    <w:rsid w:val="19BD1CFE"/>
    <w:rsid w:val="19C54A70"/>
    <w:rsid w:val="19C945DE"/>
    <w:rsid w:val="19D74F04"/>
    <w:rsid w:val="19DC58FA"/>
    <w:rsid w:val="19F56342"/>
    <w:rsid w:val="19FE6CF3"/>
    <w:rsid w:val="1A055C38"/>
    <w:rsid w:val="1A087D0E"/>
    <w:rsid w:val="1A0A54B1"/>
    <w:rsid w:val="1A0A6501"/>
    <w:rsid w:val="1A0E07A1"/>
    <w:rsid w:val="1A0F0AEE"/>
    <w:rsid w:val="1A0F7D5E"/>
    <w:rsid w:val="1A12150A"/>
    <w:rsid w:val="1A123034"/>
    <w:rsid w:val="1A181EB4"/>
    <w:rsid w:val="1A184921"/>
    <w:rsid w:val="1A1C24D7"/>
    <w:rsid w:val="1A23763C"/>
    <w:rsid w:val="1A2A009E"/>
    <w:rsid w:val="1A2D0F3D"/>
    <w:rsid w:val="1A2D4AF4"/>
    <w:rsid w:val="1A2E6712"/>
    <w:rsid w:val="1A420D5E"/>
    <w:rsid w:val="1A5926F2"/>
    <w:rsid w:val="1A5E6672"/>
    <w:rsid w:val="1A6B3616"/>
    <w:rsid w:val="1A6E7F14"/>
    <w:rsid w:val="1A872A12"/>
    <w:rsid w:val="1A8808AD"/>
    <w:rsid w:val="1A8D28D6"/>
    <w:rsid w:val="1A9226AE"/>
    <w:rsid w:val="1AAC5C16"/>
    <w:rsid w:val="1AB03A8F"/>
    <w:rsid w:val="1AB80D84"/>
    <w:rsid w:val="1ABC0203"/>
    <w:rsid w:val="1AC176FB"/>
    <w:rsid w:val="1ACC0FBB"/>
    <w:rsid w:val="1ACC16C1"/>
    <w:rsid w:val="1AD03F0F"/>
    <w:rsid w:val="1AD31856"/>
    <w:rsid w:val="1AE6599F"/>
    <w:rsid w:val="1AE82E43"/>
    <w:rsid w:val="1AF105AD"/>
    <w:rsid w:val="1AFB3328"/>
    <w:rsid w:val="1AFC1C91"/>
    <w:rsid w:val="1B04244C"/>
    <w:rsid w:val="1B047AC2"/>
    <w:rsid w:val="1B074DA9"/>
    <w:rsid w:val="1B095903"/>
    <w:rsid w:val="1B0C26CA"/>
    <w:rsid w:val="1B0D39E7"/>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674508"/>
    <w:rsid w:val="1B6C54D1"/>
    <w:rsid w:val="1B71097A"/>
    <w:rsid w:val="1B797E8E"/>
    <w:rsid w:val="1B7A4696"/>
    <w:rsid w:val="1B7A5FFE"/>
    <w:rsid w:val="1B7B2BF3"/>
    <w:rsid w:val="1B7C6BF6"/>
    <w:rsid w:val="1B82787B"/>
    <w:rsid w:val="1B8357F2"/>
    <w:rsid w:val="1B896951"/>
    <w:rsid w:val="1B8B3DA9"/>
    <w:rsid w:val="1B9145D3"/>
    <w:rsid w:val="1B966F36"/>
    <w:rsid w:val="1B9C2C40"/>
    <w:rsid w:val="1BA0668A"/>
    <w:rsid w:val="1BA91F79"/>
    <w:rsid w:val="1BAC7DE5"/>
    <w:rsid w:val="1BBC1049"/>
    <w:rsid w:val="1BC67D9A"/>
    <w:rsid w:val="1BCC5545"/>
    <w:rsid w:val="1BDA50E3"/>
    <w:rsid w:val="1BEE6CCB"/>
    <w:rsid w:val="1BF76637"/>
    <w:rsid w:val="1BF867C3"/>
    <w:rsid w:val="1C04440C"/>
    <w:rsid w:val="1C052C0A"/>
    <w:rsid w:val="1C0D36B7"/>
    <w:rsid w:val="1C175EC0"/>
    <w:rsid w:val="1C220E86"/>
    <w:rsid w:val="1C263616"/>
    <w:rsid w:val="1C365EF9"/>
    <w:rsid w:val="1C3D50A3"/>
    <w:rsid w:val="1C4059F0"/>
    <w:rsid w:val="1C450EEB"/>
    <w:rsid w:val="1C552F1A"/>
    <w:rsid w:val="1C570FEC"/>
    <w:rsid w:val="1C5E0596"/>
    <w:rsid w:val="1C615AB3"/>
    <w:rsid w:val="1C6246FD"/>
    <w:rsid w:val="1C6278A3"/>
    <w:rsid w:val="1C6F4493"/>
    <w:rsid w:val="1C757F7F"/>
    <w:rsid w:val="1C776ACA"/>
    <w:rsid w:val="1C802930"/>
    <w:rsid w:val="1C877538"/>
    <w:rsid w:val="1C981849"/>
    <w:rsid w:val="1C9A5EA0"/>
    <w:rsid w:val="1C9F6C4A"/>
    <w:rsid w:val="1CBB0F59"/>
    <w:rsid w:val="1CBB7CFB"/>
    <w:rsid w:val="1CD41FC4"/>
    <w:rsid w:val="1CD955BC"/>
    <w:rsid w:val="1CDA6A17"/>
    <w:rsid w:val="1CDD419A"/>
    <w:rsid w:val="1CF52455"/>
    <w:rsid w:val="1CFB4DD2"/>
    <w:rsid w:val="1CFF346C"/>
    <w:rsid w:val="1D19284E"/>
    <w:rsid w:val="1D2768F8"/>
    <w:rsid w:val="1D2C06E2"/>
    <w:rsid w:val="1D367C41"/>
    <w:rsid w:val="1D487B7E"/>
    <w:rsid w:val="1D4D79F9"/>
    <w:rsid w:val="1D5D6ACF"/>
    <w:rsid w:val="1D6060DB"/>
    <w:rsid w:val="1D702B9E"/>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1E54F3"/>
    <w:rsid w:val="1E216D18"/>
    <w:rsid w:val="1E2A43B9"/>
    <w:rsid w:val="1E365099"/>
    <w:rsid w:val="1E365363"/>
    <w:rsid w:val="1E3C35CE"/>
    <w:rsid w:val="1E441CF3"/>
    <w:rsid w:val="1E4E7A0E"/>
    <w:rsid w:val="1E4F1888"/>
    <w:rsid w:val="1E50272C"/>
    <w:rsid w:val="1E6D0BDF"/>
    <w:rsid w:val="1E750074"/>
    <w:rsid w:val="1E7C1B59"/>
    <w:rsid w:val="1E7D153B"/>
    <w:rsid w:val="1E7E6D89"/>
    <w:rsid w:val="1E830D8E"/>
    <w:rsid w:val="1E931BCE"/>
    <w:rsid w:val="1E9E4BE2"/>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36676"/>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35D19"/>
    <w:rsid w:val="2097534B"/>
    <w:rsid w:val="20A443A7"/>
    <w:rsid w:val="20B27C05"/>
    <w:rsid w:val="20B60C45"/>
    <w:rsid w:val="20B82852"/>
    <w:rsid w:val="20D42F3D"/>
    <w:rsid w:val="20E17E01"/>
    <w:rsid w:val="20E207F8"/>
    <w:rsid w:val="20EA32FE"/>
    <w:rsid w:val="20EB3B5D"/>
    <w:rsid w:val="20EC0247"/>
    <w:rsid w:val="20F3317C"/>
    <w:rsid w:val="20FE3807"/>
    <w:rsid w:val="21007944"/>
    <w:rsid w:val="21095B6B"/>
    <w:rsid w:val="210A7B07"/>
    <w:rsid w:val="210C7F6B"/>
    <w:rsid w:val="21286751"/>
    <w:rsid w:val="212B08EC"/>
    <w:rsid w:val="212D241D"/>
    <w:rsid w:val="21312034"/>
    <w:rsid w:val="21485CC6"/>
    <w:rsid w:val="215E0FE1"/>
    <w:rsid w:val="2168037B"/>
    <w:rsid w:val="216E7468"/>
    <w:rsid w:val="217261AE"/>
    <w:rsid w:val="21727FB2"/>
    <w:rsid w:val="21783340"/>
    <w:rsid w:val="21801196"/>
    <w:rsid w:val="21803BDE"/>
    <w:rsid w:val="21811F95"/>
    <w:rsid w:val="2187581A"/>
    <w:rsid w:val="218B5863"/>
    <w:rsid w:val="2192306D"/>
    <w:rsid w:val="21961202"/>
    <w:rsid w:val="21963AE9"/>
    <w:rsid w:val="219926C2"/>
    <w:rsid w:val="219B157A"/>
    <w:rsid w:val="21A050EF"/>
    <w:rsid w:val="21A111C0"/>
    <w:rsid w:val="21A9589F"/>
    <w:rsid w:val="21B32B54"/>
    <w:rsid w:val="21B92386"/>
    <w:rsid w:val="21BA2ADD"/>
    <w:rsid w:val="21C07087"/>
    <w:rsid w:val="21C54D5F"/>
    <w:rsid w:val="21CC6790"/>
    <w:rsid w:val="21D07B9D"/>
    <w:rsid w:val="21D561C7"/>
    <w:rsid w:val="21D71CCE"/>
    <w:rsid w:val="21E5766A"/>
    <w:rsid w:val="21E7264A"/>
    <w:rsid w:val="21F84386"/>
    <w:rsid w:val="21FC15A7"/>
    <w:rsid w:val="220031AC"/>
    <w:rsid w:val="220E4C70"/>
    <w:rsid w:val="221A5D5A"/>
    <w:rsid w:val="221B32C2"/>
    <w:rsid w:val="221D622C"/>
    <w:rsid w:val="2221049C"/>
    <w:rsid w:val="224E74AC"/>
    <w:rsid w:val="22505DF4"/>
    <w:rsid w:val="2257782A"/>
    <w:rsid w:val="225C441D"/>
    <w:rsid w:val="225C74FA"/>
    <w:rsid w:val="225D6C14"/>
    <w:rsid w:val="227E74D9"/>
    <w:rsid w:val="228A12FA"/>
    <w:rsid w:val="228A3C1E"/>
    <w:rsid w:val="229132D6"/>
    <w:rsid w:val="229A4AD9"/>
    <w:rsid w:val="22A207DD"/>
    <w:rsid w:val="22A80400"/>
    <w:rsid w:val="22BC1822"/>
    <w:rsid w:val="22C23C52"/>
    <w:rsid w:val="22C66810"/>
    <w:rsid w:val="22D30043"/>
    <w:rsid w:val="22E3085B"/>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94A6C"/>
    <w:rsid w:val="23BA46BF"/>
    <w:rsid w:val="23BE0C34"/>
    <w:rsid w:val="23C5692A"/>
    <w:rsid w:val="23CF3551"/>
    <w:rsid w:val="23D02736"/>
    <w:rsid w:val="23DA29BD"/>
    <w:rsid w:val="23E15C24"/>
    <w:rsid w:val="23FE39DA"/>
    <w:rsid w:val="24051AC6"/>
    <w:rsid w:val="241D215E"/>
    <w:rsid w:val="242B076C"/>
    <w:rsid w:val="24315770"/>
    <w:rsid w:val="245C3527"/>
    <w:rsid w:val="24611481"/>
    <w:rsid w:val="246D23D4"/>
    <w:rsid w:val="2485277B"/>
    <w:rsid w:val="24872818"/>
    <w:rsid w:val="248E74BD"/>
    <w:rsid w:val="248F2AEF"/>
    <w:rsid w:val="2492033C"/>
    <w:rsid w:val="249A4CEE"/>
    <w:rsid w:val="249D3DA9"/>
    <w:rsid w:val="24A734B1"/>
    <w:rsid w:val="24A760C7"/>
    <w:rsid w:val="24AD6B35"/>
    <w:rsid w:val="24C15D10"/>
    <w:rsid w:val="24CC288D"/>
    <w:rsid w:val="24D52A41"/>
    <w:rsid w:val="24ED4542"/>
    <w:rsid w:val="25024CF1"/>
    <w:rsid w:val="25064796"/>
    <w:rsid w:val="251B7C63"/>
    <w:rsid w:val="251E4FDB"/>
    <w:rsid w:val="25202E1E"/>
    <w:rsid w:val="25254FA3"/>
    <w:rsid w:val="252C5CB3"/>
    <w:rsid w:val="252F41B5"/>
    <w:rsid w:val="25357348"/>
    <w:rsid w:val="25406792"/>
    <w:rsid w:val="25415276"/>
    <w:rsid w:val="25480684"/>
    <w:rsid w:val="254B11E9"/>
    <w:rsid w:val="255514A1"/>
    <w:rsid w:val="255B6449"/>
    <w:rsid w:val="2561338D"/>
    <w:rsid w:val="25656B1C"/>
    <w:rsid w:val="256847E8"/>
    <w:rsid w:val="2571076E"/>
    <w:rsid w:val="25892068"/>
    <w:rsid w:val="258A1721"/>
    <w:rsid w:val="259C12DC"/>
    <w:rsid w:val="25A534F7"/>
    <w:rsid w:val="25B33230"/>
    <w:rsid w:val="25CB7FA2"/>
    <w:rsid w:val="25D0641F"/>
    <w:rsid w:val="25D37F91"/>
    <w:rsid w:val="25DA1CF9"/>
    <w:rsid w:val="25DC5542"/>
    <w:rsid w:val="25EC442D"/>
    <w:rsid w:val="25F92FDB"/>
    <w:rsid w:val="26022936"/>
    <w:rsid w:val="26095F44"/>
    <w:rsid w:val="262B7932"/>
    <w:rsid w:val="262E29B8"/>
    <w:rsid w:val="263C114D"/>
    <w:rsid w:val="2641708D"/>
    <w:rsid w:val="26447916"/>
    <w:rsid w:val="264C3CDA"/>
    <w:rsid w:val="26596FCD"/>
    <w:rsid w:val="265E0639"/>
    <w:rsid w:val="265F284C"/>
    <w:rsid w:val="26696824"/>
    <w:rsid w:val="2672012A"/>
    <w:rsid w:val="268117C5"/>
    <w:rsid w:val="268810C3"/>
    <w:rsid w:val="268A5924"/>
    <w:rsid w:val="268C1D87"/>
    <w:rsid w:val="2695452E"/>
    <w:rsid w:val="26986130"/>
    <w:rsid w:val="269A3DB9"/>
    <w:rsid w:val="26B9072F"/>
    <w:rsid w:val="26B94B54"/>
    <w:rsid w:val="26BC0576"/>
    <w:rsid w:val="26BD652A"/>
    <w:rsid w:val="26CB7903"/>
    <w:rsid w:val="26D771E7"/>
    <w:rsid w:val="26D8554A"/>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90D80"/>
    <w:rsid w:val="273E000B"/>
    <w:rsid w:val="27592771"/>
    <w:rsid w:val="275C1141"/>
    <w:rsid w:val="276023AE"/>
    <w:rsid w:val="276C7CFF"/>
    <w:rsid w:val="276F6AD9"/>
    <w:rsid w:val="2777743E"/>
    <w:rsid w:val="277A409D"/>
    <w:rsid w:val="277C70AE"/>
    <w:rsid w:val="27853C74"/>
    <w:rsid w:val="27856AD1"/>
    <w:rsid w:val="278630A6"/>
    <w:rsid w:val="2786663F"/>
    <w:rsid w:val="27883F7D"/>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3F0EF9"/>
    <w:rsid w:val="28423B7D"/>
    <w:rsid w:val="284608F7"/>
    <w:rsid w:val="28485215"/>
    <w:rsid w:val="284A09A7"/>
    <w:rsid w:val="28500B77"/>
    <w:rsid w:val="285D13A9"/>
    <w:rsid w:val="286402A2"/>
    <w:rsid w:val="286C1FDD"/>
    <w:rsid w:val="2882403B"/>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4517CA"/>
    <w:rsid w:val="29546820"/>
    <w:rsid w:val="29551174"/>
    <w:rsid w:val="295B0F1F"/>
    <w:rsid w:val="295B4BFB"/>
    <w:rsid w:val="295B72FD"/>
    <w:rsid w:val="29705FD0"/>
    <w:rsid w:val="297A51BC"/>
    <w:rsid w:val="298A566B"/>
    <w:rsid w:val="29950331"/>
    <w:rsid w:val="299D603F"/>
    <w:rsid w:val="29A61F60"/>
    <w:rsid w:val="29C3043F"/>
    <w:rsid w:val="29DF3337"/>
    <w:rsid w:val="29E377F1"/>
    <w:rsid w:val="29F31B60"/>
    <w:rsid w:val="29F31D4B"/>
    <w:rsid w:val="29FF2DEE"/>
    <w:rsid w:val="2A010675"/>
    <w:rsid w:val="2A176F99"/>
    <w:rsid w:val="2A186DFF"/>
    <w:rsid w:val="2A1955AA"/>
    <w:rsid w:val="2A203DF6"/>
    <w:rsid w:val="2A240D73"/>
    <w:rsid w:val="2A275E94"/>
    <w:rsid w:val="2A330B2A"/>
    <w:rsid w:val="2A3A6795"/>
    <w:rsid w:val="2A3D74FD"/>
    <w:rsid w:val="2A463F6A"/>
    <w:rsid w:val="2A561408"/>
    <w:rsid w:val="2A5669BF"/>
    <w:rsid w:val="2A59551B"/>
    <w:rsid w:val="2A6336DA"/>
    <w:rsid w:val="2A64465C"/>
    <w:rsid w:val="2A7113EB"/>
    <w:rsid w:val="2A7F4274"/>
    <w:rsid w:val="2A956C62"/>
    <w:rsid w:val="2A9D73B2"/>
    <w:rsid w:val="2AA442CC"/>
    <w:rsid w:val="2AA824F5"/>
    <w:rsid w:val="2AB87157"/>
    <w:rsid w:val="2ABA6525"/>
    <w:rsid w:val="2ABC109C"/>
    <w:rsid w:val="2ABF3B37"/>
    <w:rsid w:val="2AC31E25"/>
    <w:rsid w:val="2AC56612"/>
    <w:rsid w:val="2AD35375"/>
    <w:rsid w:val="2AD50BFA"/>
    <w:rsid w:val="2AD769C3"/>
    <w:rsid w:val="2ADC4E39"/>
    <w:rsid w:val="2AE62A58"/>
    <w:rsid w:val="2AF81ECB"/>
    <w:rsid w:val="2AF87E90"/>
    <w:rsid w:val="2AFF1DEE"/>
    <w:rsid w:val="2B06442C"/>
    <w:rsid w:val="2B0E023E"/>
    <w:rsid w:val="2B181E15"/>
    <w:rsid w:val="2B191CD2"/>
    <w:rsid w:val="2B1D5E9C"/>
    <w:rsid w:val="2B25092E"/>
    <w:rsid w:val="2B284669"/>
    <w:rsid w:val="2B30480F"/>
    <w:rsid w:val="2B34404C"/>
    <w:rsid w:val="2B386554"/>
    <w:rsid w:val="2B3F1CF0"/>
    <w:rsid w:val="2B523B28"/>
    <w:rsid w:val="2B5423A6"/>
    <w:rsid w:val="2B5D4286"/>
    <w:rsid w:val="2B6F2E19"/>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107BF"/>
    <w:rsid w:val="2CB31BB0"/>
    <w:rsid w:val="2CBA2BEE"/>
    <w:rsid w:val="2CC11812"/>
    <w:rsid w:val="2CC36BEE"/>
    <w:rsid w:val="2CC5354C"/>
    <w:rsid w:val="2CC569CB"/>
    <w:rsid w:val="2CC74803"/>
    <w:rsid w:val="2CCE1CF6"/>
    <w:rsid w:val="2CD938F8"/>
    <w:rsid w:val="2CE93AE4"/>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23A2"/>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B7A44"/>
    <w:rsid w:val="2E1E40E0"/>
    <w:rsid w:val="2E203718"/>
    <w:rsid w:val="2E234CF1"/>
    <w:rsid w:val="2E25667F"/>
    <w:rsid w:val="2E2746AE"/>
    <w:rsid w:val="2E2A7F89"/>
    <w:rsid w:val="2E2C6D07"/>
    <w:rsid w:val="2E362CCC"/>
    <w:rsid w:val="2E3A2A7D"/>
    <w:rsid w:val="2E3C6519"/>
    <w:rsid w:val="2E3F2C3E"/>
    <w:rsid w:val="2E540295"/>
    <w:rsid w:val="2E572CC0"/>
    <w:rsid w:val="2E746A1C"/>
    <w:rsid w:val="2E7A43C2"/>
    <w:rsid w:val="2E7E4584"/>
    <w:rsid w:val="2E7F5BF7"/>
    <w:rsid w:val="2E8F3BDD"/>
    <w:rsid w:val="2E8F5B0F"/>
    <w:rsid w:val="2E916675"/>
    <w:rsid w:val="2E972581"/>
    <w:rsid w:val="2EA654AC"/>
    <w:rsid w:val="2EA76548"/>
    <w:rsid w:val="2EAA11AB"/>
    <w:rsid w:val="2EAB1DEF"/>
    <w:rsid w:val="2EAC0D07"/>
    <w:rsid w:val="2EB005F7"/>
    <w:rsid w:val="2EB14523"/>
    <w:rsid w:val="2EB5032D"/>
    <w:rsid w:val="2EC156AA"/>
    <w:rsid w:val="2ED52C2F"/>
    <w:rsid w:val="2EDB1B05"/>
    <w:rsid w:val="2EDB613D"/>
    <w:rsid w:val="2EDE6E27"/>
    <w:rsid w:val="2EDF7C16"/>
    <w:rsid w:val="2EE274DE"/>
    <w:rsid w:val="2EEA1F1A"/>
    <w:rsid w:val="2F0D112B"/>
    <w:rsid w:val="2F166E6A"/>
    <w:rsid w:val="2F285FF5"/>
    <w:rsid w:val="2F3A54E2"/>
    <w:rsid w:val="2F440358"/>
    <w:rsid w:val="2F4E5FA5"/>
    <w:rsid w:val="2F525F81"/>
    <w:rsid w:val="2F585A28"/>
    <w:rsid w:val="2F6126A2"/>
    <w:rsid w:val="2F75035E"/>
    <w:rsid w:val="2F766510"/>
    <w:rsid w:val="2F791223"/>
    <w:rsid w:val="2F7943EE"/>
    <w:rsid w:val="2F7F3437"/>
    <w:rsid w:val="2F810F49"/>
    <w:rsid w:val="2F817DD0"/>
    <w:rsid w:val="2F860E31"/>
    <w:rsid w:val="2F8B1796"/>
    <w:rsid w:val="2F8B5472"/>
    <w:rsid w:val="2FA032DD"/>
    <w:rsid w:val="2FAF5682"/>
    <w:rsid w:val="2FC62D06"/>
    <w:rsid w:val="2FD804D0"/>
    <w:rsid w:val="2FE86C2B"/>
    <w:rsid w:val="2FF51385"/>
    <w:rsid w:val="30032FEE"/>
    <w:rsid w:val="300635B2"/>
    <w:rsid w:val="30150E8E"/>
    <w:rsid w:val="30163D86"/>
    <w:rsid w:val="30214C7E"/>
    <w:rsid w:val="30252350"/>
    <w:rsid w:val="302E6758"/>
    <w:rsid w:val="3042487F"/>
    <w:rsid w:val="304254C0"/>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C46A8E"/>
    <w:rsid w:val="30D23B03"/>
    <w:rsid w:val="30D434B3"/>
    <w:rsid w:val="30DC47F8"/>
    <w:rsid w:val="30E47EBD"/>
    <w:rsid w:val="30EB3929"/>
    <w:rsid w:val="30EE76A9"/>
    <w:rsid w:val="30F43821"/>
    <w:rsid w:val="3109433A"/>
    <w:rsid w:val="310B497D"/>
    <w:rsid w:val="310E10C0"/>
    <w:rsid w:val="31235610"/>
    <w:rsid w:val="312F75C1"/>
    <w:rsid w:val="31375B94"/>
    <w:rsid w:val="313C7BC6"/>
    <w:rsid w:val="31410622"/>
    <w:rsid w:val="315B77DE"/>
    <w:rsid w:val="31635125"/>
    <w:rsid w:val="316A323C"/>
    <w:rsid w:val="317209C0"/>
    <w:rsid w:val="317B6247"/>
    <w:rsid w:val="317F4BE7"/>
    <w:rsid w:val="318367AA"/>
    <w:rsid w:val="3184584E"/>
    <w:rsid w:val="31890AFA"/>
    <w:rsid w:val="31942C78"/>
    <w:rsid w:val="31A92B71"/>
    <w:rsid w:val="31B368C2"/>
    <w:rsid w:val="31B575A2"/>
    <w:rsid w:val="31B826E8"/>
    <w:rsid w:val="31B933B4"/>
    <w:rsid w:val="31C366C9"/>
    <w:rsid w:val="31D42722"/>
    <w:rsid w:val="31E159BF"/>
    <w:rsid w:val="31E74498"/>
    <w:rsid w:val="31EC2597"/>
    <w:rsid w:val="31ED3244"/>
    <w:rsid w:val="31EE1B5E"/>
    <w:rsid w:val="31F37C1C"/>
    <w:rsid w:val="31FE2CF9"/>
    <w:rsid w:val="31FF6123"/>
    <w:rsid w:val="32065136"/>
    <w:rsid w:val="321D6B3D"/>
    <w:rsid w:val="32270B61"/>
    <w:rsid w:val="323B79F6"/>
    <w:rsid w:val="324437E6"/>
    <w:rsid w:val="325F5F5D"/>
    <w:rsid w:val="327E699B"/>
    <w:rsid w:val="327E7A78"/>
    <w:rsid w:val="32844B47"/>
    <w:rsid w:val="3288180B"/>
    <w:rsid w:val="329920A7"/>
    <w:rsid w:val="32A64C00"/>
    <w:rsid w:val="32AE255C"/>
    <w:rsid w:val="32CC0FF0"/>
    <w:rsid w:val="32D26FC0"/>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12A5F"/>
    <w:rsid w:val="33753B52"/>
    <w:rsid w:val="33791D42"/>
    <w:rsid w:val="33872123"/>
    <w:rsid w:val="33886FFF"/>
    <w:rsid w:val="338D714C"/>
    <w:rsid w:val="33990CFA"/>
    <w:rsid w:val="339B63A6"/>
    <w:rsid w:val="33A05D78"/>
    <w:rsid w:val="33A24A64"/>
    <w:rsid w:val="33A92786"/>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796121"/>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77FF7"/>
    <w:rsid w:val="34FA05DF"/>
    <w:rsid w:val="350116E1"/>
    <w:rsid w:val="35027278"/>
    <w:rsid w:val="35030504"/>
    <w:rsid w:val="35194A87"/>
    <w:rsid w:val="352C447E"/>
    <w:rsid w:val="35360858"/>
    <w:rsid w:val="35441378"/>
    <w:rsid w:val="35530FC5"/>
    <w:rsid w:val="35533710"/>
    <w:rsid w:val="355625CB"/>
    <w:rsid w:val="355F4DB0"/>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0D0CAB"/>
    <w:rsid w:val="36107D41"/>
    <w:rsid w:val="361330F6"/>
    <w:rsid w:val="36285816"/>
    <w:rsid w:val="362870F0"/>
    <w:rsid w:val="362C2535"/>
    <w:rsid w:val="36337F43"/>
    <w:rsid w:val="36471A5E"/>
    <w:rsid w:val="3648201D"/>
    <w:rsid w:val="36514CD4"/>
    <w:rsid w:val="365228B4"/>
    <w:rsid w:val="36535D77"/>
    <w:rsid w:val="36537047"/>
    <w:rsid w:val="36780C03"/>
    <w:rsid w:val="367F7FB6"/>
    <w:rsid w:val="36887E64"/>
    <w:rsid w:val="368A2FB4"/>
    <w:rsid w:val="368D029A"/>
    <w:rsid w:val="36914186"/>
    <w:rsid w:val="369D01C9"/>
    <w:rsid w:val="36A15210"/>
    <w:rsid w:val="36A53B0C"/>
    <w:rsid w:val="36AB5B70"/>
    <w:rsid w:val="36BA5016"/>
    <w:rsid w:val="36BE2266"/>
    <w:rsid w:val="36C02FF5"/>
    <w:rsid w:val="36C8525D"/>
    <w:rsid w:val="36CE2B8B"/>
    <w:rsid w:val="36D273E0"/>
    <w:rsid w:val="36D32B73"/>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4C6E03"/>
    <w:rsid w:val="37514317"/>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DC0BF3"/>
    <w:rsid w:val="37E817B5"/>
    <w:rsid w:val="37F076C8"/>
    <w:rsid w:val="37F1371B"/>
    <w:rsid w:val="37FB0B3E"/>
    <w:rsid w:val="380024A3"/>
    <w:rsid w:val="380D2976"/>
    <w:rsid w:val="381F367E"/>
    <w:rsid w:val="382D1422"/>
    <w:rsid w:val="382D79BB"/>
    <w:rsid w:val="383319D9"/>
    <w:rsid w:val="38342E2A"/>
    <w:rsid w:val="383651A6"/>
    <w:rsid w:val="384D7991"/>
    <w:rsid w:val="384E6F01"/>
    <w:rsid w:val="38543901"/>
    <w:rsid w:val="385C2D19"/>
    <w:rsid w:val="38674C73"/>
    <w:rsid w:val="38693AE4"/>
    <w:rsid w:val="386C0A4A"/>
    <w:rsid w:val="386C45DA"/>
    <w:rsid w:val="386D7544"/>
    <w:rsid w:val="38745B33"/>
    <w:rsid w:val="38766C47"/>
    <w:rsid w:val="38795DC5"/>
    <w:rsid w:val="387E5C3B"/>
    <w:rsid w:val="3887059F"/>
    <w:rsid w:val="38880168"/>
    <w:rsid w:val="388F0D9F"/>
    <w:rsid w:val="3890215F"/>
    <w:rsid w:val="389B27FB"/>
    <w:rsid w:val="389D2BD7"/>
    <w:rsid w:val="389E4D91"/>
    <w:rsid w:val="38AC4127"/>
    <w:rsid w:val="38B05A05"/>
    <w:rsid w:val="38B3170E"/>
    <w:rsid w:val="38B72BF8"/>
    <w:rsid w:val="38BC0503"/>
    <w:rsid w:val="38C63082"/>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B3A22"/>
    <w:rsid w:val="39BF02C9"/>
    <w:rsid w:val="39C75C0F"/>
    <w:rsid w:val="39D62E48"/>
    <w:rsid w:val="39E139DA"/>
    <w:rsid w:val="39F75FF8"/>
    <w:rsid w:val="39FD1B1B"/>
    <w:rsid w:val="3A0869D3"/>
    <w:rsid w:val="3A1320A7"/>
    <w:rsid w:val="3A1530F4"/>
    <w:rsid w:val="3A164982"/>
    <w:rsid w:val="3A212451"/>
    <w:rsid w:val="3A2143A8"/>
    <w:rsid w:val="3A2248B5"/>
    <w:rsid w:val="3A25367C"/>
    <w:rsid w:val="3A2B5CE1"/>
    <w:rsid w:val="3A3411E3"/>
    <w:rsid w:val="3A4800A2"/>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70943"/>
    <w:rsid w:val="3BA95811"/>
    <w:rsid w:val="3BB0680C"/>
    <w:rsid w:val="3BB723BA"/>
    <w:rsid w:val="3BBA3AFF"/>
    <w:rsid w:val="3BC163A1"/>
    <w:rsid w:val="3BCA1F1C"/>
    <w:rsid w:val="3BCC13D8"/>
    <w:rsid w:val="3BCF7DD5"/>
    <w:rsid w:val="3BD61E6F"/>
    <w:rsid w:val="3BDB19BD"/>
    <w:rsid w:val="3BE94360"/>
    <w:rsid w:val="3BF16F98"/>
    <w:rsid w:val="3BF8706E"/>
    <w:rsid w:val="3C015688"/>
    <w:rsid w:val="3C0565C0"/>
    <w:rsid w:val="3C1A7B29"/>
    <w:rsid w:val="3C1D4DB7"/>
    <w:rsid w:val="3C2D19C2"/>
    <w:rsid w:val="3C2E346D"/>
    <w:rsid w:val="3C300658"/>
    <w:rsid w:val="3C3C5635"/>
    <w:rsid w:val="3C4A0954"/>
    <w:rsid w:val="3C4E4FB3"/>
    <w:rsid w:val="3C5075FD"/>
    <w:rsid w:val="3C620A5E"/>
    <w:rsid w:val="3C6541EF"/>
    <w:rsid w:val="3C843444"/>
    <w:rsid w:val="3C8A2BD1"/>
    <w:rsid w:val="3C8A566E"/>
    <w:rsid w:val="3C9508BF"/>
    <w:rsid w:val="3C9B38E3"/>
    <w:rsid w:val="3CB37E13"/>
    <w:rsid w:val="3CC13059"/>
    <w:rsid w:val="3CC27964"/>
    <w:rsid w:val="3CD51CB9"/>
    <w:rsid w:val="3CDC4055"/>
    <w:rsid w:val="3CE85903"/>
    <w:rsid w:val="3CEA0930"/>
    <w:rsid w:val="3CEA5354"/>
    <w:rsid w:val="3CEE20CB"/>
    <w:rsid w:val="3CFF5A50"/>
    <w:rsid w:val="3D00401E"/>
    <w:rsid w:val="3D066B35"/>
    <w:rsid w:val="3D09231C"/>
    <w:rsid w:val="3D1E6ED1"/>
    <w:rsid w:val="3D39590B"/>
    <w:rsid w:val="3D3C210D"/>
    <w:rsid w:val="3D460D1D"/>
    <w:rsid w:val="3D4925B9"/>
    <w:rsid w:val="3D4A37B0"/>
    <w:rsid w:val="3D4D2DFE"/>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658EC"/>
    <w:rsid w:val="3E1D3429"/>
    <w:rsid w:val="3E297137"/>
    <w:rsid w:val="3E2B3F5D"/>
    <w:rsid w:val="3E2F4686"/>
    <w:rsid w:val="3E2F73DE"/>
    <w:rsid w:val="3E320316"/>
    <w:rsid w:val="3E3F4C01"/>
    <w:rsid w:val="3E46735C"/>
    <w:rsid w:val="3E49291C"/>
    <w:rsid w:val="3E493C01"/>
    <w:rsid w:val="3E5E47FF"/>
    <w:rsid w:val="3E620DC8"/>
    <w:rsid w:val="3E650593"/>
    <w:rsid w:val="3E6A4415"/>
    <w:rsid w:val="3E703BAE"/>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EF84F58"/>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50C2"/>
    <w:rsid w:val="3F6E7226"/>
    <w:rsid w:val="3F7418AC"/>
    <w:rsid w:val="3F7B467C"/>
    <w:rsid w:val="3F7C60C3"/>
    <w:rsid w:val="3F7E5294"/>
    <w:rsid w:val="3F7F4BFD"/>
    <w:rsid w:val="3F8045BC"/>
    <w:rsid w:val="3F832219"/>
    <w:rsid w:val="3F8534F2"/>
    <w:rsid w:val="3F8A73CC"/>
    <w:rsid w:val="3F8D6CDE"/>
    <w:rsid w:val="3F8E1EC9"/>
    <w:rsid w:val="3F905742"/>
    <w:rsid w:val="3F9B0260"/>
    <w:rsid w:val="3F9C3E7C"/>
    <w:rsid w:val="3FA10F7C"/>
    <w:rsid w:val="3FA6563C"/>
    <w:rsid w:val="3FB94373"/>
    <w:rsid w:val="3FBE27AD"/>
    <w:rsid w:val="3FC81C6B"/>
    <w:rsid w:val="3FD73AF9"/>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85BCA"/>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E24F21"/>
    <w:rsid w:val="40E729EB"/>
    <w:rsid w:val="40E778E5"/>
    <w:rsid w:val="40F758D3"/>
    <w:rsid w:val="40F92041"/>
    <w:rsid w:val="41083BB1"/>
    <w:rsid w:val="410853B3"/>
    <w:rsid w:val="41091EA6"/>
    <w:rsid w:val="410B3456"/>
    <w:rsid w:val="41180D6F"/>
    <w:rsid w:val="4119042E"/>
    <w:rsid w:val="412C0CBA"/>
    <w:rsid w:val="412C1567"/>
    <w:rsid w:val="41340463"/>
    <w:rsid w:val="413620F4"/>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EE2A19"/>
    <w:rsid w:val="41F04D95"/>
    <w:rsid w:val="41F142BE"/>
    <w:rsid w:val="420624CD"/>
    <w:rsid w:val="420E3149"/>
    <w:rsid w:val="421D32A0"/>
    <w:rsid w:val="4220489C"/>
    <w:rsid w:val="42295194"/>
    <w:rsid w:val="422D0B58"/>
    <w:rsid w:val="4237753F"/>
    <w:rsid w:val="42432B19"/>
    <w:rsid w:val="424E42E0"/>
    <w:rsid w:val="42605FC7"/>
    <w:rsid w:val="4260739C"/>
    <w:rsid w:val="42757253"/>
    <w:rsid w:val="427E1440"/>
    <w:rsid w:val="428D4023"/>
    <w:rsid w:val="42B61D72"/>
    <w:rsid w:val="42B620DC"/>
    <w:rsid w:val="42BC2C67"/>
    <w:rsid w:val="42BC2E3B"/>
    <w:rsid w:val="42D21379"/>
    <w:rsid w:val="42EF0FF5"/>
    <w:rsid w:val="42F35F7E"/>
    <w:rsid w:val="42F47FFA"/>
    <w:rsid w:val="4304205B"/>
    <w:rsid w:val="43047A68"/>
    <w:rsid w:val="43174EEA"/>
    <w:rsid w:val="43195FEB"/>
    <w:rsid w:val="4320761C"/>
    <w:rsid w:val="43313DAF"/>
    <w:rsid w:val="4343018D"/>
    <w:rsid w:val="434C4375"/>
    <w:rsid w:val="434E3D91"/>
    <w:rsid w:val="436647E4"/>
    <w:rsid w:val="4368223A"/>
    <w:rsid w:val="43691245"/>
    <w:rsid w:val="436C5E2D"/>
    <w:rsid w:val="436E31A2"/>
    <w:rsid w:val="436E6A85"/>
    <w:rsid w:val="437C39D2"/>
    <w:rsid w:val="43831DC3"/>
    <w:rsid w:val="43867CCC"/>
    <w:rsid w:val="438D6B45"/>
    <w:rsid w:val="43980A03"/>
    <w:rsid w:val="439D3D88"/>
    <w:rsid w:val="439D5BA8"/>
    <w:rsid w:val="43A62628"/>
    <w:rsid w:val="43A94C99"/>
    <w:rsid w:val="43AB1167"/>
    <w:rsid w:val="43AB3386"/>
    <w:rsid w:val="43AF4E83"/>
    <w:rsid w:val="43C04AE1"/>
    <w:rsid w:val="43C36F8F"/>
    <w:rsid w:val="43DB681A"/>
    <w:rsid w:val="43DE24CE"/>
    <w:rsid w:val="43E52E60"/>
    <w:rsid w:val="43E66B2A"/>
    <w:rsid w:val="43EE01AC"/>
    <w:rsid w:val="43EE4542"/>
    <w:rsid w:val="43EF7DF5"/>
    <w:rsid w:val="43F53C4A"/>
    <w:rsid w:val="44011EEF"/>
    <w:rsid w:val="44062A2A"/>
    <w:rsid w:val="44090E0E"/>
    <w:rsid w:val="440F21F4"/>
    <w:rsid w:val="44212D0F"/>
    <w:rsid w:val="442C6C43"/>
    <w:rsid w:val="44322FD2"/>
    <w:rsid w:val="44346684"/>
    <w:rsid w:val="44353309"/>
    <w:rsid w:val="44422711"/>
    <w:rsid w:val="4445734B"/>
    <w:rsid w:val="445136FB"/>
    <w:rsid w:val="44554363"/>
    <w:rsid w:val="44585654"/>
    <w:rsid w:val="44704880"/>
    <w:rsid w:val="447642AD"/>
    <w:rsid w:val="44775579"/>
    <w:rsid w:val="447E4EDD"/>
    <w:rsid w:val="448D2079"/>
    <w:rsid w:val="449A2D31"/>
    <w:rsid w:val="44A33666"/>
    <w:rsid w:val="44B061F5"/>
    <w:rsid w:val="44B134EE"/>
    <w:rsid w:val="44B52371"/>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F625C"/>
    <w:rsid w:val="458379B3"/>
    <w:rsid w:val="459B604C"/>
    <w:rsid w:val="459F5856"/>
    <w:rsid w:val="45A65FC7"/>
    <w:rsid w:val="45BB2BD6"/>
    <w:rsid w:val="45BC2771"/>
    <w:rsid w:val="45BC2FC1"/>
    <w:rsid w:val="45C16234"/>
    <w:rsid w:val="45C86013"/>
    <w:rsid w:val="45CD3D41"/>
    <w:rsid w:val="45DD3C11"/>
    <w:rsid w:val="45E83918"/>
    <w:rsid w:val="45EB1031"/>
    <w:rsid w:val="45F524BA"/>
    <w:rsid w:val="45F83658"/>
    <w:rsid w:val="45FA5BAF"/>
    <w:rsid w:val="45FD1EC4"/>
    <w:rsid w:val="46007492"/>
    <w:rsid w:val="460F365D"/>
    <w:rsid w:val="4612589E"/>
    <w:rsid w:val="461915DF"/>
    <w:rsid w:val="463401B4"/>
    <w:rsid w:val="464C33C7"/>
    <w:rsid w:val="464E6C04"/>
    <w:rsid w:val="46682C1E"/>
    <w:rsid w:val="4668749E"/>
    <w:rsid w:val="466A5676"/>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204DA"/>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C62811"/>
    <w:rsid w:val="47D34EEE"/>
    <w:rsid w:val="47DC4C30"/>
    <w:rsid w:val="48002186"/>
    <w:rsid w:val="480F423C"/>
    <w:rsid w:val="48110FF0"/>
    <w:rsid w:val="4811485A"/>
    <w:rsid w:val="481223B3"/>
    <w:rsid w:val="48204C90"/>
    <w:rsid w:val="482147ED"/>
    <w:rsid w:val="483061F9"/>
    <w:rsid w:val="4834110C"/>
    <w:rsid w:val="48352D55"/>
    <w:rsid w:val="483817E7"/>
    <w:rsid w:val="4844010E"/>
    <w:rsid w:val="48586A3A"/>
    <w:rsid w:val="48620B89"/>
    <w:rsid w:val="4866681E"/>
    <w:rsid w:val="487178A0"/>
    <w:rsid w:val="48834488"/>
    <w:rsid w:val="48874444"/>
    <w:rsid w:val="489303F6"/>
    <w:rsid w:val="48931C83"/>
    <w:rsid w:val="4896216F"/>
    <w:rsid w:val="48A7274A"/>
    <w:rsid w:val="48AD3284"/>
    <w:rsid w:val="48B4567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0C4A37"/>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15A0F"/>
    <w:rsid w:val="499A1FDC"/>
    <w:rsid w:val="499D52F4"/>
    <w:rsid w:val="499D7026"/>
    <w:rsid w:val="49A00037"/>
    <w:rsid w:val="49D619DD"/>
    <w:rsid w:val="49D9493E"/>
    <w:rsid w:val="49DD44F8"/>
    <w:rsid w:val="49F40A9B"/>
    <w:rsid w:val="49F50CB4"/>
    <w:rsid w:val="4A000379"/>
    <w:rsid w:val="4A21713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D86CB6"/>
    <w:rsid w:val="4AE87A29"/>
    <w:rsid w:val="4AEA16BD"/>
    <w:rsid w:val="4AEA2E7F"/>
    <w:rsid w:val="4AEE194A"/>
    <w:rsid w:val="4AF41A0D"/>
    <w:rsid w:val="4AF55326"/>
    <w:rsid w:val="4AF71C76"/>
    <w:rsid w:val="4AF817B0"/>
    <w:rsid w:val="4AFE5096"/>
    <w:rsid w:val="4B0A096E"/>
    <w:rsid w:val="4B12691B"/>
    <w:rsid w:val="4B156F7D"/>
    <w:rsid w:val="4B2C5549"/>
    <w:rsid w:val="4B330DED"/>
    <w:rsid w:val="4B342BB9"/>
    <w:rsid w:val="4B3C784A"/>
    <w:rsid w:val="4B447281"/>
    <w:rsid w:val="4B484F16"/>
    <w:rsid w:val="4B4E6196"/>
    <w:rsid w:val="4B564E6D"/>
    <w:rsid w:val="4B85781E"/>
    <w:rsid w:val="4B8A5383"/>
    <w:rsid w:val="4B942D8B"/>
    <w:rsid w:val="4B950DA0"/>
    <w:rsid w:val="4BB052DF"/>
    <w:rsid w:val="4BCD4308"/>
    <w:rsid w:val="4BCD5692"/>
    <w:rsid w:val="4BD732D2"/>
    <w:rsid w:val="4BDC4661"/>
    <w:rsid w:val="4BDF43C7"/>
    <w:rsid w:val="4BE817AA"/>
    <w:rsid w:val="4BEE7B11"/>
    <w:rsid w:val="4BFC22FB"/>
    <w:rsid w:val="4C120F9D"/>
    <w:rsid w:val="4C177DC1"/>
    <w:rsid w:val="4C1A1D40"/>
    <w:rsid w:val="4C1E0FA5"/>
    <w:rsid w:val="4C210C43"/>
    <w:rsid w:val="4C372680"/>
    <w:rsid w:val="4C385A40"/>
    <w:rsid w:val="4C3A1B31"/>
    <w:rsid w:val="4C3C5364"/>
    <w:rsid w:val="4C414F34"/>
    <w:rsid w:val="4C4B1F38"/>
    <w:rsid w:val="4C4C6957"/>
    <w:rsid w:val="4C504A5E"/>
    <w:rsid w:val="4C5706FA"/>
    <w:rsid w:val="4C5A5543"/>
    <w:rsid w:val="4C5F6678"/>
    <w:rsid w:val="4C6C4453"/>
    <w:rsid w:val="4C6D3C65"/>
    <w:rsid w:val="4C744291"/>
    <w:rsid w:val="4C832012"/>
    <w:rsid w:val="4C892217"/>
    <w:rsid w:val="4C8B49BD"/>
    <w:rsid w:val="4C8F3F05"/>
    <w:rsid w:val="4C956172"/>
    <w:rsid w:val="4C9818A9"/>
    <w:rsid w:val="4CA321E7"/>
    <w:rsid w:val="4CA95DCD"/>
    <w:rsid w:val="4CAC7170"/>
    <w:rsid w:val="4CB63AA4"/>
    <w:rsid w:val="4CBA6BE7"/>
    <w:rsid w:val="4CBB7B02"/>
    <w:rsid w:val="4CCC058C"/>
    <w:rsid w:val="4CCE080B"/>
    <w:rsid w:val="4CD00124"/>
    <w:rsid w:val="4CDB1139"/>
    <w:rsid w:val="4CF73AC7"/>
    <w:rsid w:val="4CFF7F97"/>
    <w:rsid w:val="4D04433E"/>
    <w:rsid w:val="4D066A1E"/>
    <w:rsid w:val="4D11769B"/>
    <w:rsid w:val="4D15653E"/>
    <w:rsid w:val="4D2F622D"/>
    <w:rsid w:val="4D343BF8"/>
    <w:rsid w:val="4D3674B4"/>
    <w:rsid w:val="4D380EFB"/>
    <w:rsid w:val="4D3C37C9"/>
    <w:rsid w:val="4D4275E2"/>
    <w:rsid w:val="4D4A130F"/>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361E8"/>
    <w:rsid w:val="4E3F2E3C"/>
    <w:rsid w:val="4E4A4665"/>
    <w:rsid w:val="4E57386F"/>
    <w:rsid w:val="4E592B87"/>
    <w:rsid w:val="4E641BCF"/>
    <w:rsid w:val="4E7B2738"/>
    <w:rsid w:val="4E7E2A33"/>
    <w:rsid w:val="4E804312"/>
    <w:rsid w:val="4E857FB1"/>
    <w:rsid w:val="4E9373C0"/>
    <w:rsid w:val="4E9D2E98"/>
    <w:rsid w:val="4E9D42BA"/>
    <w:rsid w:val="4EA6083B"/>
    <w:rsid w:val="4EB33E9D"/>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34B70"/>
    <w:rsid w:val="4F967CF0"/>
    <w:rsid w:val="4FA24978"/>
    <w:rsid w:val="4FB140AE"/>
    <w:rsid w:val="4FB218B1"/>
    <w:rsid w:val="4FB53D56"/>
    <w:rsid w:val="4FB76356"/>
    <w:rsid w:val="4FBE156C"/>
    <w:rsid w:val="4FD01C6D"/>
    <w:rsid w:val="4FD66BFE"/>
    <w:rsid w:val="4FD7466B"/>
    <w:rsid w:val="4FEA2E06"/>
    <w:rsid w:val="4FEC2651"/>
    <w:rsid w:val="4FEF5594"/>
    <w:rsid w:val="4FF3765B"/>
    <w:rsid w:val="500837F6"/>
    <w:rsid w:val="500A2552"/>
    <w:rsid w:val="50131C60"/>
    <w:rsid w:val="501346DF"/>
    <w:rsid w:val="501723E6"/>
    <w:rsid w:val="50184AC4"/>
    <w:rsid w:val="50296286"/>
    <w:rsid w:val="502D6F0B"/>
    <w:rsid w:val="50396587"/>
    <w:rsid w:val="503C29A6"/>
    <w:rsid w:val="50486E0E"/>
    <w:rsid w:val="5075104B"/>
    <w:rsid w:val="507852DF"/>
    <w:rsid w:val="50862D10"/>
    <w:rsid w:val="50866AC3"/>
    <w:rsid w:val="5089193F"/>
    <w:rsid w:val="508F3C37"/>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42B3B"/>
    <w:rsid w:val="51075C61"/>
    <w:rsid w:val="510B4CF4"/>
    <w:rsid w:val="510E483E"/>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907DB0"/>
    <w:rsid w:val="51A536BA"/>
    <w:rsid w:val="51AC042E"/>
    <w:rsid w:val="51AE2C09"/>
    <w:rsid w:val="51B00983"/>
    <w:rsid w:val="51B376F2"/>
    <w:rsid w:val="51B67C18"/>
    <w:rsid w:val="51BB2F03"/>
    <w:rsid w:val="51C16B27"/>
    <w:rsid w:val="51C9097B"/>
    <w:rsid w:val="51CA6775"/>
    <w:rsid w:val="51CB1A99"/>
    <w:rsid w:val="51DF5E42"/>
    <w:rsid w:val="51E440ED"/>
    <w:rsid w:val="51E47B4B"/>
    <w:rsid w:val="51EA5164"/>
    <w:rsid w:val="51ED1C9D"/>
    <w:rsid w:val="52015CFB"/>
    <w:rsid w:val="5205448A"/>
    <w:rsid w:val="52056978"/>
    <w:rsid w:val="520D1F5C"/>
    <w:rsid w:val="52114BFD"/>
    <w:rsid w:val="521261B6"/>
    <w:rsid w:val="52175E2A"/>
    <w:rsid w:val="52195706"/>
    <w:rsid w:val="521B0709"/>
    <w:rsid w:val="52271449"/>
    <w:rsid w:val="522C00DE"/>
    <w:rsid w:val="522C3822"/>
    <w:rsid w:val="523503EF"/>
    <w:rsid w:val="52462379"/>
    <w:rsid w:val="525B75FE"/>
    <w:rsid w:val="526668CC"/>
    <w:rsid w:val="526B2DEC"/>
    <w:rsid w:val="527051D7"/>
    <w:rsid w:val="52802D36"/>
    <w:rsid w:val="5285481D"/>
    <w:rsid w:val="528C7F03"/>
    <w:rsid w:val="52905977"/>
    <w:rsid w:val="529277B7"/>
    <w:rsid w:val="52963AD0"/>
    <w:rsid w:val="529F1597"/>
    <w:rsid w:val="52AC7816"/>
    <w:rsid w:val="52AF3F38"/>
    <w:rsid w:val="52B33948"/>
    <w:rsid w:val="52B94B1B"/>
    <w:rsid w:val="52C93BBE"/>
    <w:rsid w:val="52CC4B1B"/>
    <w:rsid w:val="52D36D37"/>
    <w:rsid w:val="52EF5160"/>
    <w:rsid w:val="52EF646C"/>
    <w:rsid w:val="5301507F"/>
    <w:rsid w:val="530E6347"/>
    <w:rsid w:val="530F5E21"/>
    <w:rsid w:val="53171EB2"/>
    <w:rsid w:val="53172410"/>
    <w:rsid w:val="53266B09"/>
    <w:rsid w:val="53297E57"/>
    <w:rsid w:val="532F2EDF"/>
    <w:rsid w:val="53301552"/>
    <w:rsid w:val="534A0FDD"/>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0FC7"/>
    <w:rsid w:val="53FE1A5F"/>
    <w:rsid w:val="540D7E0D"/>
    <w:rsid w:val="540E619C"/>
    <w:rsid w:val="54183E31"/>
    <w:rsid w:val="54184A3A"/>
    <w:rsid w:val="542230BC"/>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1E3B67"/>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8039A"/>
    <w:rsid w:val="56191332"/>
    <w:rsid w:val="561F6A95"/>
    <w:rsid w:val="5621085D"/>
    <w:rsid w:val="562E13B9"/>
    <w:rsid w:val="56362C3B"/>
    <w:rsid w:val="56400012"/>
    <w:rsid w:val="564B4F61"/>
    <w:rsid w:val="56506BA6"/>
    <w:rsid w:val="56582835"/>
    <w:rsid w:val="56586FFD"/>
    <w:rsid w:val="565D32EE"/>
    <w:rsid w:val="56605B8B"/>
    <w:rsid w:val="56682B4C"/>
    <w:rsid w:val="5668633D"/>
    <w:rsid w:val="566B03C0"/>
    <w:rsid w:val="566C2C16"/>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DC4E3B"/>
    <w:rsid w:val="56E05001"/>
    <w:rsid w:val="56E815DE"/>
    <w:rsid w:val="56F06EF3"/>
    <w:rsid w:val="57023C45"/>
    <w:rsid w:val="57037A40"/>
    <w:rsid w:val="57054F7E"/>
    <w:rsid w:val="570609A1"/>
    <w:rsid w:val="5713500C"/>
    <w:rsid w:val="5720074D"/>
    <w:rsid w:val="57243036"/>
    <w:rsid w:val="572B5292"/>
    <w:rsid w:val="573336BE"/>
    <w:rsid w:val="57427F9F"/>
    <w:rsid w:val="577C648F"/>
    <w:rsid w:val="57820521"/>
    <w:rsid w:val="57856385"/>
    <w:rsid w:val="578B726C"/>
    <w:rsid w:val="57A17585"/>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55E7A"/>
    <w:rsid w:val="581822BF"/>
    <w:rsid w:val="582167C0"/>
    <w:rsid w:val="58227152"/>
    <w:rsid w:val="582369E5"/>
    <w:rsid w:val="5828413D"/>
    <w:rsid w:val="582B10C3"/>
    <w:rsid w:val="583B01C4"/>
    <w:rsid w:val="58651E40"/>
    <w:rsid w:val="5865540D"/>
    <w:rsid w:val="586578BF"/>
    <w:rsid w:val="586E481C"/>
    <w:rsid w:val="58782544"/>
    <w:rsid w:val="587911FF"/>
    <w:rsid w:val="588D7EB4"/>
    <w:rsid w:val="5893560D"/>
    <w:rsid w:val="5895275F"/>
    <w:rsid w:val="58960058"/>
    <w:rsid w:val="589820EF"/>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13D9A"/>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7D4C38"/>
    <w:rsid w:val="5A830BE5"/>
    <w:rsid w:val="5A89045B"/>
    <w:rsid w:val="5A9145E8"/>
    <w:rsid w:val="5A947631"/>
    <w:rsid w:val="5A9A05AC"/>
    <w:rsid w:val="5A9A15E7"/>
    <w:rsid w:val="5A9F0DC6"/>
    <w:rsid w:val="5A9F1F6A"/>
    <w:rsid w:val="5AAE1E87"/>
    <w:rsid w:val="5AC45EAA"/>
    <w:rsid w:val="5ACF442D"/>
    <w:rsid w:val="5AD1252D"/>
    <w:rsid w:val="5AD20955"/>
    <w:rsid w:val="5AD47E1F"/>
    <w:rsid w:val="5AD87740"/>
    <w:rsid w:val="5ADC3D73"/>
    <w:rsid w:val="5AE24901"/>
    <w:rsid w:val="5AF2382A"/>
    <w:rsid w:val="5AF43314"/>
    <w:rsid w:val="5B0222C7"/>
    <w:rsid w:val="5B044115"/>
    <w:rsid w:val="5B091091"/>
    <w:rsid w:val="5B0A37B0"/>
    <w:rsid w:val="5B174064"/>
    <w:rsid w:val="5B1B0FF9"/>
    <w:rsid w:val="5B272121"/>
    <w:rsid w:val="5B3532FF"/>
    <w:rsid w:val="5B3C1D54"/>
    <w:rsid w:val="5B481B3C"/>
    <w:rsid w:val="5B4D0BC9"/>
    <w:rsid w:val="5B5514C8"/>
    <w:rsid w:val="5B5F167F"/>
    <w:rsid w:val="5B5F4C73"/>
    <w:rsid w:val="5B650702"/>
    <w:rsid w:val="5B681C9D"/>
    <w:rsid w:val="5B843294"/>
    <w:rsid w:val="5B907E58"/>
    <w:rsid w:val="5B982E7E"/>
    <w:rsid w:val="5B9B660C"/>
    <w:rsid w:val="5BA10692"/>
    <w:rsid w:val="5BA54ABB"/>
    <w:rsid w:val="5BAB6253"/>
    <w:rsid w:val="5BAC2C18"/>
    <w:rsid w:val="5BB14304"/>
    <w:rsid w:val="5BB30DAB"/>
    <w:rsid w:val="5BB47684"/>
    <w:rsid w:val="5BB93FA9"/>
    <w:rsid w:val="5BBB1CCC"/>
    <w:rsid w:val="5BC43418"/>
    <w:rsid w:val="5BCD6317"/>
    <w:rsid w:val="5BD007A1"/>
    <w:rsid w:val="5BD1505A"/>
    <w:rsid w:val="5BD92BA9"/>
    <w:rsid w:val="5BE362D1"/>
    <w:rsid w:val="5BFE5ABF"/>
    <w:rsid w:val="5C1202F0"/>
    <w:rsid w:val="5C17089D"/>
    <w:rsid w:val="5C173560"/>
    <w:rsid w:val="5C1B21DD"/>
    <w:rsid w:val="5C1E0DBA"/>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4EE2"/>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350D7"/>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8E7A9D"/>
    <w:rsid w:val="5D9C48CA"/>
    <w:rsid w:val="5D9C5A6E"/>
    <w:rsid w:val="5D9C687B"/>
    <w:rsid w:val="5D9E4D25"/>
    <w:rsid w:val="5DA35EC2"/>
    <w:rsid w:val="5DAA4DAC"/>
    <w:rsid w:val="5DAD66F9"/>
    <w:rsid w:val="5DAF334A"/>
    <w:rsid w:val="5DD15393"/>
    <w:rsid w:val="5DD92DED"/>
    <w:rsid w:val="5DE32CB4"/>
    <w:rsid w:val="5DE731A6"/>
    <w:rsid w:val="5DEE0909"/>
    <w:rsid w:val="5DF07C75"/>
    <w:rsid w:val="5E087EA2"/>
    <w:rsid w:val="5E0B6841"/>
    <w:rsid w:val="5E0D67C6"/>
    <w:rsid w:val="5E142F4D"/>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9C336A"/>
    <w:rsid w:val="5EA5785A"/>
    <w:rsid w:val="5EAB038B"/>
    <w:rsid w:val="5EC42A19"/>
    <w:rsid w:val="5ECD663E"/>
    <w:rsid w:val="5ECF427E"/>
    <w:rsid w:val="5ECF7A7F"/>
    <w:rsid w:val="5ED358B4"/>
    <w:rsid w:val="5EDC1150"/>
    <w:rsid w:val="5EDF1218"/>
    <w:rsid w:val="5EE509E9"/>
    <w:rsid w:val="5EF24CBB"/>
    <w:rsid w:val="5EF76261"/>
    <w:rsid w:val="5EFA3EFD"/>
    <w:rsid w:val="5EFB5BB1"/>
    <w:rsid w:val="5EFD0C98"/>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313BC"/>
    <w:rsid w:val="5F991BCB"/>
    <w:rsid w:val="5F9E4F41"/>
    <w:rsid w:val="5FAF3719"/>
    <w:rsid w:val="5FB52FE3"/>
    <w:rsid w:val="5FBF59B7"/>
    <w:rsid w:val="5FD21CA0"/>
    <w:rsid w:val="5FD54D4B"/>
    <w:rsid w:val="5FDE2E8C"/>
    <w:rsid w:val="60061BD9"/>
    <w:rsid w:val="600B6F9E"/>
    <w:rsid w:val="600D1ACB"/>
    <w:rsid w:val="6013357B"/>
    <w:rsid w:val="60204443"/>
    <w:rsid w:val="60212F5C"/>
    <w:rsid w:val="602A71DA"/>
    <w:rsid w:val="60322AC8"/>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C01BDB"/>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75E7D"/>
    <w:rsid w:val="613971FF"/>
    <w:rsid w:val="613A49B3"/>
    <w:rsid w:val="61624B79"/>
    <w:rsid w:val="6166268C"/>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723A2"/>
    <w:rsid w:val="61DC186E"/>
    <w:rsid w:val="61DD6DD1"/>
    <w:rsid w:val="61DE687D"/>
    <w:rsid w:val="61E31E58"/>
    <w:rsid w:val="61FC3F9E"/>
    <w:rsid w:val="61FE0A8D"/>
    <w:rsid w:val="62030FEB"/>
    <w:rsid w:val="62073330"/>
    <w:rsid w:val="62073F36"/>
    <w:rsid w:val="621059B1"/>
    <w:rsid w:val="6211378A"/>
    <w:rsid w:val="62122CD3"/>
    <w:rsid w:val="6224074C"/>
    <w:rsid w:val="62297593"/>
    <w:rsid w:val="622B5E19"/>
    <w:rsid w:val="62327D52"/>
    <w:rsid w:val="62344DE7"/>
    <w:rsid w:val="623C00AB"/>
    <w:rsid w:val="623D4244"/>
    <w:rsid w:val="62471721"/>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1159E"/>
    <w:rsid w:val="633B695E"/>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280DF1"/>
    <w:rsid w:val="642961AE"/>
    <w:rsid w:val="64315D17"/>
    <w:rsid w:val="64394F75"/>
    <w:rsid w:val="643F472E"/>
    <w:rsid w:val="64463683"/>
    <w:rsid w:val="644A0B47"/>
    <w:rsid w:val="644E07D9"/>
    <w:rsid w:val="6453564F"/>
    <w:rsid w:val="64551981"/>
    <w:rsid w:val="645640CB"/>
    <w:rsid w:val="645719A3"/>
    <w:rsid w:val="645C6ED8"/>
    <w:rsid w:val="646025F0"/>
    <w:rsid w:val="646A5E54"/>
    <w:rsid w:val="64802D5A"/>
    <w:rsid w:val="64876409"/>
    <w:rsid w:val="64894778"/>
    <w:rsid w:val="648C165E"/>
    <w:rsid w:val="64940E4C"/>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4FA379C"/>
    <w:rsid w:val="650906B2"/>
    <w:rsid w:val="651623FA"/>
    <w:rsid w:val="651725E2"/>
    <w:rsid w:val="651923B1"/>
    <w:rsid w:val="651B3A87"/>
    <w:rsid w:val="651E53C9"/>
    <w:rsid w:val="65276A52"/>
    <w:rsid w:val="65284EFA"/>
    <w:rsid w:val="653C7770"/>
    <w:rsid w:val="653F68E9"/>
    <w:rsid w:val="65405E19"/>
    <w:rsid w:val="654241F9"/>
    <w:rsid w:val="65583296"/>
    <w:rsid w:val="65627360"/>
    <w:rsid w:val="65741253"/>
    <w:rsid w:val="657933B4"/>
    <w:rsid w:val="657A3205"/>
    <w:rsid w:val="657D0522"/>
    <w:rsid w:val="657E0629"/>
    <w:rsid w:val="65821277"/>
    <w:rsid w:val="658629E2"/>
    <w:rsid w:val="65886C35"/>
    <w:rsid w:val="65A37D77"/>
    <w:rsid w:val="65A853B5"/>
    <w:rsid w:val="65AB0A9F"/>
    <w:rsid w:val="65AC7D2D"/>
    <w:rsid w:val="65BB227F"/>
    <w:rsid w:val="65BB4569"/>
    <w:rsid w:val="65CE50BB"/>
    <w:rsid w:val="65CE7C03"/>
    <w:rsid w:val="65D74D65"/>
    <w:rsid w:val="65DA1DF8"/>
    <w:rsid w:val="65DC221B"/>
    <w:rsid w:val="65DE5175"/>
    <w:rsid w:val="65E14974"/>
    <w:rsid w:val="65E755BB"/>
    <w:rsid w:val="65E911A0"/>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6D0667"/>
    <w:rsid w:val="66704CB4"/>
    <w:rsid w:val="667E00F5"/>
    <w:rsid w:val="66821B29"/>
    <w:rsid w:val="668652F7"/>
    <w:rsid w:val="668C6CE7"/>
    <w:rsid w:val="66900CCE"/>
    <w:rsid w:val="6694591D"/>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07125"/>
    <w:rsid w:val="67D2542E"/>
    <w:rsid w:val="67D72703"/>
    <w:rsid w:val="67F03037"/>
    <w:rsid w:val="67F750D2"/>
    <w:rsid w:val="67F910F0"/>
    <w:rsid w:val="67FC3A5B"/>
    <w:rsid w:val="67FF6FE0"/>
    <w:rsid w:val="68012D1C"/>
    <w:rsid w:val="680879DB"/>
    <w:rsid w:val="680E4D2C"/>
    <w:rsid w:val="68167B9C"/>
    <w:rsid w:val="681B51F3"/>
    <w:rsid w:val="681D73E4"/>
    <w:rsid w:val="68363F74"/>
    <w:rsid w:val="6838590E"/>
    <w:rsid w:val="684B46A6"/>
    <w:rsid w:val="684D303D"/>
    <w:rsid w:val="68552702"/>
    <w:rsid w:val="685713FD"/>
    <w:rsid w:val="68592C3A"/>
    <w:rsid w:val="68637DDC"/>
    <w:rsid w:val="68767581"/>
    <w:rsid w:val="6879627E"/>
    <w:rsid w:val="688304F5"/>
    <w:rsid w:val="68875546"/>
    <w:rsid w:val="688D23C1"/>
    <w:rsid w:val="689641FE"/>
    <w:rsid w:val="689A5F45"/>
    <w:rsid w:val="68A938AB"/>
    <w:rsid w:val="68AA5416"/>
    <w:rsid w:val="68AB36B1"/>
    <w:rsid w:val="68B4315B"/>
    <w:rsid w:val="68BC7C3A"/>
    <w:rsid w:val="68E05A23"/>
    <w:rsid w:val="68E76428"/>
    <w:rsid w:val="68EE5FF6"/>
    <w:rsid w:val="68F11B06"/>
    <w:rsid w:val="68F12C0F"/>
    <w:rsid w:val="68F13CC7"/>
    <w:rsid w:val="68F84E77"/>
    <w:rsid w:val="68FF2C68"/>
    <w:rsid w:val="69022C4C"/>
    <w:rsid w:val="69024635"/>
    <w:rsid w:val="69044B80"/>
    <w:rsid w:val="69044E32"/>
    <w:rsid w:val="69060615"/>
    <w:rsid w:val="690A435D"/>
    <w:rsid w:val="691F44E7"/>
    <w:rsid w:val="69224FDE"/>
    <w:rsid w:val="692E19FD"/>
    <w:rsid w:val="69446055"/>
    <w:rsid w:val="69473D0C"/>
    <w:rsid w:val="6949404D"/>
    <w:rsid w:val="694B12FB"/>
    <w:rsid w:val="695A62A9"/>
    <w:rsid w:val="69624748"/>
    <w:rsid w:val="6963093D"/>
    <w:rsid w:val="69650FC5"/>
    <w:rsid w:val="69660731"/>
    <w:rsid w:val="69730ADA"/>
    <w:rsid w:val="69831A73"/>
    <w:rsid w:val="69840A36"/>
    <w:rsid w:val="698B4982"/>
    <w:rsid w:val="698C6058"/>
    <w:rsid w:val="698D2C48"/>
    <w:rsid w:val="69943691"/>
    <w:rsid w:val="69952395"/>
    <w:rsid w:val="69972AE5"/>
    <w:rsid w:val="69976019"/>
    <w:rsid w:val="699765BA"/>
    <w:rsid w:val="699E5CEA"/>
    <w:rsid w:val="69A60CBC"/>
    <w:rsid w:val="69A60DA5"/>
    <w:rsid w:val="69B339A6"/>
    <w:rsid w:val="69B665F3"/>
    <w:rsid w:val="69C932A9"/>
    <w:rsid w:val="69D7764C"/>
    <w:rsid w:val="69DC1A0F"/>
    <w:rsid w:val="69DC4528"/>
    <w:rsid w:val="69E07446"/>
    <w:rsid w:val="69E16069"/>
    <w:rsid w:val="69E51DB9"/>
    <w:rsid w:val="6A021847"/>
    <w:rsid w:val="6A063C23"/>
    <w:rsid w:val="6A0B175E"/>
    <w:rsid w:val="6A13672F"/>
    <w:rsid w:val="6A144649"/>
    <w:rsid w:val="6A146F9B"/>
    <w:rsid w:val="6A1874E7"/>
    <w:rsid w:val="6A2300FA"/>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44F3E"/>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AE54CE8"/>
    <w:rsid w:val="6B280F7C"/>
    <w:rsid w:val="6B2A0C0E"/>
    <w:rsid w:val="6B2A4723"/>
    <w:rsid w:val="6B2E7032"/>
    <w:rsid w:val="6B3413B3"/>
    <w:rsid w:val="6B3C653F"/>
    <w:rsid w:val="6B3D33A0"/>
    <w:rsid w:val="6B407479"/>
    <w:rsid w:val="6B537D47"/>
    <w:rsid w:val="6B6D241B"/>
    <w:rsid w:val="6B736C85"/>
    <w:rsid w:val="6B7C7DA8"/>
    <w:rsid w:val="6B802322"/>
    <w:rsid w:val="6B8A71F9"/>
    <w:rsid w:val="6B8E05A1"/>
    <w:rsid w:val="6BA63872"/>
    <w:rsid w:val="6BB3600A"/>
    <w:rsid w:val="6BB50005"/>
    <w:rsid w:val="6BC80A7B"/>
    <w:rsid w:val="6BCB7246"/>
    <w:rsid w:val="6BD411D1"/>
    <w:rsid w:val="6BDE3149"/>
    <w:rsid w:val="6BE115FE"/>
    <w:rsid w:val="6BE513D7"/>
    <w:rsid w:val="6BE863A2"/>
    <w:rsid w:val="6BF748D7"/>
    <w:rsid w:val="6BFB36AF"/>
    <w:rsid w:val="6BFF089E"/>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196607"/>
    <w:rsid w:val="6D2D1A8D"/>
    <w:rsid w:val="6D2D4DD7"/>
    <w:rsid w:val="6D452634"/>
    <w:rsid w:val="6D4E2A98"/>
    <w:rsid w:val="6D573418"/>
    <w:rsid w:val="6D5C5E9C"/>
    <w:rsid w:val="6D5C627B"/>
    <w:rsid w:val="6D681EA4"/>
    <w:rsid w:val="6D6D044B"/>
    <w:rsid w:val="6D7C57F8"/>
    <w:rsid w:val="6D7D1AC3"/>
    <w:rsid w:val="6D7D6EF8"/>
    <w:rsid w:val="6D815C50"/>
    <w:rsid w:val="6D872543"/>
    <w:rsid w:val="6D8E1365"/>
    <w:rsid w:val="6D940859"/>
    <w:rsid w:val="6D9B34DD"/>
    <w:rsid w:val="6DAE0142"/>
    <w:rsid w:val="6DB32EBA"/>
    <w:rsid w:val="6DBA7E68"/>
    <w:rsid w:val="6DBF0696"/>
    <w:rsid w:val="6DBF7540"/>
    <w:rsid w:val="6DC93C87"/>
    <w:rsid w:val="6DCE3A32"/>
    <w:rsid w:val="6DD05B97"/>
    <w:rsid w:val="6DD10A64"/>
    <w:rsid w:val="6DD23DE9"/>
    <w:rsid w:val="6DE848CB"/>
    <w:rsid w:val="6DF65A16"/>
    <w:rsid w:val="6E02368D"/>
    <w:rsid w:val="6E236350"/>
    <w:rsid w:val="6E24500A"/>
    <w:rsid w:val="6E2573F2"/>
    <w:rsid w:val="6E264F90"/>
    <w:rsid w:val="6E277035"/>
    <w:rsid w:val="6E28761F"/>
    <w:rsid w:val="6E2E5609"/>
    <w:rsid w:val="6E353B30"/>
    <w:rsid w:val="6E393736"/>
    <w:rsid w:val="6E397EC3"/>
    <w:rsid w:val="6E4033AB"/>
    <w:rsid w:val="6E447E57"/>
    <w:rsid w:val="6E4A2B2A"/>
    <w:rsid w:val="6E5B2E56"/>
    <w:rsid w:val="6E61381C"/>
    <w:rsid w:val="6E656BF0"/>
    <w:rsid w:val="6E7305B6"/>
    <w:rsid w:val="6E74106F"/>
    <w:rsid w:val="6E9129CA"/>
    <w:rsid w:val="6E977AFD"/>
    <w:rsid w:val="6EBB04F1"/>
    <w:rsid w:val="6EC26FD9"/>
    <w:rsid w:val="6EC67286"/>
    <w:rsid w:val="6ECF060A"/>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E30F8"/>
    <w:rsid w:val="6F8F4AF5"/>
    <w:rsid w:val="6F9721E9"/>
    <w:rsid w:val="6FA42682"/>
    <w:rsid w:val="6FA70BA7"/>
    <w:rsid w:val="6FAF1C9C"/>
    <w:rsid w:val="6FBD44AB"/>
    <w:rsid w:val="6FC905A2"/>
    <w:rsid w:val="6FCE771B"/>
    <w:rsid w:val="6FD14A24"/>
    <w:rsid w:val="6FD55877"/>
    <w:rsid w:val="6FE110F3"/>
    <w:rsid w:val="6FE66281"/>
    <w:rsid w:val="6FE82829"/>
    <w:rsid w:val="6FF20060"/>
    <w:rsid w:val="6FF80816"/>
    <w:rsid w:val="6FFC3D09"/>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57FC5"/>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EE7B05"/>
    <w:rsid w:val="70F355AE"/>
    <w:rsid w:val="70F72D6E"/>
    <w:rsid w:val="70FD1698"/>
    <w:rsid w:val="71154DE5"/>
    <w:rsid w:val="71166810"/>
    <w:rsid w:val="71215455"/>
    <w:rsid w:val="712F05D2"/>
    <w:rsid w:val="712F4884"/>
    <w:rsid w:val="7130470C"/>
    <w:rsid w:val="71343433"/>
    <w:rsid w:val="7141524F"/>
    <w:rsid w:val="71431E1E"/>
    <w:rsid w:val="714A575C"/>
    <w:rsid w:val="714D0A7B"/>
    <w:rsid w:val="714D5498"/>
    <w:rsid w:val="71552F3A"/>
    <w:rsid w:val="716C1EF8"/>
    <w:rsid w:val="7177447D"/>
    <w:rsid w:val="718A6E24"/>
    <w:rsid w:val="718B410A"/>
    <w:rsid w:val="71942565"/>
    <w:rsid w:val="719E26EE"/>
    <w:rsid w:val="71A96C95"/>
    <w:rsid w:val="71AF38A9"/>
    <w:rsid w:val="71B35578"/>
    <w:rsid w:val="71B5568A"/>
    <w:rsid w:val="71B73B89"/>
    <w:rsid w:val="71BE705C"/>
    <w:rsid w:val="71C15FF6"/>
    <w:rsid w:val="71C358C8"/>
    <w:rsid w:val="71C837FD"/>
    <w:rsid w:val="71D01A82"/>
    <w:rsid w:val="71D22A17"/>
    <w:rsid w:val="71D25893"/>
    <w:rsid w:val="71D91572"/>
    <w:rsid w:val="71E329B9"/>
    <w:rsid w:val="71E36CE7"/>
    <w:rsid w:val="71E57D76"/>
    <w:rsid w:val="71F16E28"/>
    <w:rsid w:val="71F7623A"/>
    <w:rsid w:val="71FD5FDB"/>
    <w:rsid w:val="721A100B"/>
    <w:rsid w:val="72247735"/>
    <w:rsid w:val="7225697F"/>
    <w:rsid w:val="722716E8"/>
    <w:rsid w:val="7235420C"/>
    <w:rsid w:val="72402380"/>
    <w:rsid w:val="72407100"/>
    <w:rsid w:val="72437C98"/>
    <w:rsid w:val="72516EA0"/>
    <w:rsid w:val="72583EEB"/>
    <w:rsid w:val="725D01F5"/>
    <w:rsid w:val="72665275"/>
    <w:rsid w:val="72745365"/>
    <w:rsid w:val="728576DC"/>
    <w:rsid w:val="729E35B7"/>
    <w:rsid w:val="729F1BBB"/>
    <w:rsid w:val="72A41103"/>
    <w:rsid w:val="72AC56A9"/>
    <w:rsid w:val="72B72115"/>
    <w:rsid w:val="72C96D9C"/>
    <w:rsid w:val="72CF0C6D"/>
    <w:rsid w:val="72DB2A23"/>
    <w:rsid w:val="72E73227"/>
    <w:rsid w:val="72F25DBD"/>
    <w:rsid w:val="72F36F06"/>
    <w:rsid w:val="72F42BA6"/>
    <w:rsid w:val="72F62736"/>
    <w:rsid w:val="730243B3"/>
    <w:rsid w:val="7321765C"/>
    <w:rsid w:val="732B3C79"/>
    <w:rsid w:val="73335B99"/>
    <w:rsid w:val="73337CF8"/>
    <w:rsid w:val="73357AA5"/>
    <w:rsid w:val="733E293E"/>
    <w:rsid w:val="734202CC"/>
    <w:rsid w:val="73472057"/>
    <w:rsid w:val="7350500A"/>
    <w:rsid w:val="735A29FC"/>
    <w:rsid w:val="736173E3"/>
    <w:rsid w:val="73672487"/>
    <w:rsid w:val="736C3816"/>
    <w:rsid w:val="736F76A9"/>
    <w:rsid w:val="73702680"/>
    <w:rsid w:val="73721F07"/>
    <w:rsid w:val="73757D4F"/>
    <w:rsid w:val="737A0B64"/>
    <w:rsid w:val="737C13F0"/>
    <w:rsid w:val="737D52E2"/>
    <w:rsid w:val="737D693A"/>
    <w:rsid w:val="737F75C1"/>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EF72A6"/>
    <w:rsid w:val="73F5377F"/>
    <w:rsid w:val="74043D88"/>
    <w:rsid w:val="74065E56"/>
    <w:rsid w:val="740C2765"/>
    <w:rsid w:val="7419638F"/>
    <w:rsid w:val="74274051"/>
    <w:rsid w:val="742751FE"/>
    <w:rsid w:val="74394C16"/>
    <w:rsid w:val="744C4300"/>
    <w:rsid w:val="74580A92"/>
    <w:rsid w:val="745C1FBB"/>
    <w:rsid w:val="7470173B"/>
    <w:rsid w:val="74783BDA"/>
    <w:rsid w:val="747A6752"/>
    <w:rsid w:val="747F05FF"/>
    <w:rsid w:val="74885903"/>
    <w:rsid w:val="748E43CB"/>
    <w:rsid w:val="749C148B"/>
    <w:rsid w:val="74AD3F91"/>
    <w:rsid w:val="74AE732D"/>
    <w:rsid w:val="74BB3589"/>
    <w:rsid w:val="74BE2388"/>
    <w:rsid w:val="74C050AA"/>
    <w:rsid w:val="74CE73CB"/>
    <w:rsid w:val="74D7643E"/>
    <w:rsid w:val="74DF31E4"/>
    <w:rsid w:val="74F30FF8"/>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66C53"/>
    <w:rsid w:val="75E746A2"/>
    <w:rsid w:val="75EE097C"/>
    <w:rsid w:val="75F23D58"/>
    <w:rsid w:val="75F26586"/>
    <w:rsid w:val="75F87521"/>
    <w:rsid w:val="76033F16"/>
    <w:rsid w:val="76047A8D"/>
    <w:rsid w:val="760E6B9C"/>
    <w:rsid w:val="761038C0"/>
    <w:rsid w:val="76267F90"/>
    <w:rsid w:val="76462CF6"/>
    <w:rsid w:val="764A4D57"/>
    <w:rsid w:val="766B66FC"/>
    <w:rsid w:val="767821A4"/>
    <w:rsid w:val="767B20FE"/>
    <w:rsid w:val="76805D33"/>
    <w:rsid w:val="76A37A3A"/>
    <w:rsid w:val="76A82F49"/>
    <w:rsid w:val="76B220B2"/>
    <w:rsid w:val="76B56D82"/>
    <w:rsid w:val="76B76559"/>
    <w:rsid w:val="76BB4FA2"/>
    <w:rsid w:val="76BF49AA"/>
    <w:rsid w:val="76C1748B"/>
    <w:rsid w:val="76C658A7"/>
    <w:rsid w:val="76CD1A9C"/>
    <w:rsid w:val="76DA0BF9"/>
    <w:rsid w:val="76DF7B35"/>
    <w:rsid w:val="76E97048"/>
    <w:rsid w:val="76F10225"/>
    <w:rsid w:val="76F84648"/>
    <w:rsid w:val="76FD59B0"/>
    <w:rsid w:val="76FE2553"/>
    <w:rsid w:val="76FF4AF8"/>
    <w:rsid w:val="77046BA0"/>
    <w:rsid w:val="77137D11"/>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06521"/>
    <w:rsid w:val="778D611A"/>
    <w:rsid w:val="77A80CCE"/>
    <w:rsid w:val="77AC33E3"/>
    <w:rsid w:val="77B54417"/>
    <w:rsid w:val="77C11AE1"/>
    <w:rsid w:val="77DD5C0D"/>
    <w:rsid w:val="77E31876"/>
    <w:rsid w:val="77F70A9F"/>
    <w:rsid w:val="77FA510E"/>
    <w:rsid w:val="77FC7EA1"/>
    <w:rsid w:val="780076F7"/>
    <w:rsid w:val="78051327"/>
    <w:rsid w:val="78114CCA"/>
    <w:rsid w:val="781525B9"/>
    <w:rsid w:val="781E5BB3"/>
    <w:rsid w:val="78207E88"/>
    <w:rsid w:val="78235F51"/>
    <w:rsid w:val="78291A3D"/>
    <w:rsid w:val="782D208B"/>
    <w:rsid w:val="7838476C"/>
    <w:rsid w:val="7840644C"/>
    <w:rsid w:val="784463C9"/>
    <w:rsid w:val="78462CDE"/>
    <w:rsid w:val="784C5E3C"/>
    <w:rsid w:val="78587D9D"/>
    <w:rsid w:val="78665DAD"/>
    <w:rsid w:val="78692CAE"/>
    <w:rsid w:val="786A513F"/>
    <w:rsid w:val="786B0114"/>
    <w:rsid w:val="78751EEA"/>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35CA7"/>
    <w:rsid w:val="78E45DC5"/>
    <w:rsid w:val="78E74107"/>
    <w:rsid w:val="78E829E1"/>
    <w:rsid w:val="78EA14E0"/>
    <w:rsid w:val="78F73AFB"/>
    <w:rsid w:val="78F920F4"/>
    <w:rsid w:val="7911492F"/>
    <w:rsid w:val="791A4133"/>
    <w:rsid w:val="79292660"/>
    <w:rsid w:val="79294E5A"/>
    <w:rsid w:val="792E2E3D"/>
    <w:rsid w:val="792E4C66"/>
    <w:rsid w:val="7936600F"/>
    <w:rsid w:val="79470958"/>
    <w:rsid w:val="794A4ACB"/>
    <w:rsid w:val="79674FF0"/>
    <w:rsid w:val="796C172D"/>
    <w:rsid w:val="796D4F8F"/>
    <w:rsid w:val="798227A4"/>
    <w:rsid w:val="79893AFD"/>
    <w:rsid w:val="798A5EF7"/>
    <w:rsid w:val="79946E29"/>
    <w:rsid w:val="79956DF5"/>
    <w:rsid w:val="799A266C"/>
    <w:rsid w:val="799F18BD"/>
    <w:rsid w:val="79B67472"/>
    <w:rsid w:val="79B757FA"/>
    <w:rsid w:val="79B842A2"/>
    <w:rsid w:val="79BE5DE1"/>
    <w:rsid w:val="79D40E08"/>
    <w:rsid w:val="79D82C2E"/>
    <w:rsid w:val="79E24263"/>
    <w:rsid w:val="79F04129"/>
    <w:rsid w:val="79F21FD8"/>
    <w:rsid w:val="79FF1824"/>
    <w:rsid w:val="79FF7F25"/>
    <w:rsid w:val="7A0716CA"/>
    <w:rsid w:val="7A114BB5"/>
    <w:rsid w:val="7A12604B"/>
    <w:rsid w:val="7A14656B"/>
    <w:rsid w:val="7A2870CE"/>
    <w:rsid w:val="7A3005C8"/>
    <w:rsid w:val="7A30762A"/>
    <w:rsid w:val="7A367EA0"/>
    <w:rsid w:val="7A4F6BE7"/>
    <w:rsid w:val="7A564B97"/>
    <w:rsid w:val="7A654EF0"/>
    <w:rsid w:val="7A666272"/>
    <w:rsid w:val="7A690F99"/>
    <w:rsid w:val="7A6A15E1"/>
    <w:rsid w:val="7A755AD2"/>
    <w:rsid w:val="7A7F5660"/>
    <w:rsid w:val="7A7F5E82"/>
    <w:rsid w:val="7A7F7E58"/>
    <w:rsid w:val="7A827221"/>
    <w:rsid w:val="7A972572"/>
    <w:rsid w:val="7A9D1B21"/>
    <w:rsid w:val="7AAD0152"/>
    <w:rsid w:val="7AAD2C86"/>
    <w:rsid w:val="7ABE31D3"/>
    <w:rsid w:val="7AC26606"/>
    <w:rsid w:val="7ADC60D9"/>
    <w:rsid w:val="7AE2092A"/>
    <w:rsid w:val="7AE24006"/>
    <w:rsid w:val="7AEB63DD"/>
    <w:rsid w:val="7AF1269E"/>
    <w:rsid w:val="7AFB5155"/>
    <w:rsid w:val="7AFE6B01"/>
    <w:rsid w:val="7B0B1C9F"/>
    <w:rsid w:val="7B0B6E35"/>
    <w:rsid w:val="7B0C036B"/>
    <w:rsid w:val="7B302FF3"/>
    <w:rsid w:val="7B487574"/>
    <w:rsid w:val="7B4F12C2"/>
    <w:rsid w:val="7B677818"/>
    <w:rsid w:val="7B701705"/>
    <w:rsid w:val="7B742FC3"/>
    <w:rsid w:val="7B77573C"/>
    <w:rsid w:val="7B79756D"/>
    <w:rsid w:val="7B7C2D50"/>
    <w:rsid w:val="7B7D7C16"/>
    <w:rsid w:val="7B7F49AE"/>
    <w:rsid w:val="7B805AEC"/>
    <w:rsid w:val="7B814888"/>
    <w:rsid w:val="7B8332C5"/>
    <w:rsid w:val="7B85103D"/>
    <w:rsid w:val="7B8E122C"/>
    <w:rsid w:val="7B933A33"/>
    <w:rsid w:val="7B94133B"/>
    <w:rsid w:val="7B9B5776"/>
    <w:rsid w:val="7B9C6BD7"/>
    <w:rsid w:val="7BA561B8"/>
    <w:rsid w:val="7BAA33A9"/>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5D0410"/>
    <w:rsid w:val="7C606750"/>
    <w:rsid w:val="7C6D5ED6"/>
    <w:rsid w:val="7C7A5022"/>
    <w:rsid w:val="7C7C3C04"/>
    <w:rsid w:val="7C7E69AF"/>
    <w:rsid w:val="7C7F0437"/>
    <w:rsid w:val="7C93331E"/>
    <w:rsid w:val="7C954A77"/>
    <w:rsid w:val="7C9B2446"/>
    <w:rsid w:val="7C9E7D96"/>
    <w:rsid w:val="7CA2276B"/>
    <w:rsid w:val="7CBD1EC8"/>
    <w:rsid w:val="7CD36A8D"/>
    <w:rsid w:val="7CDB0014"/>
    <w:rsid w:val="7CE82952"/>
    <w:rsid w:val="7CEC5ADC"/>
    <w:rsid w:val="7CEF058D"/>
    <w:rsid w:val="7CF579A6"/>
    <w:rsid w:val="7CF607B6"/>
    <w:rsid w:val="7CFA373E"/>
    <w:rsid w:val="7D033795"/>
    <w:rsid w:val="7D073790"/>
    <w:rsid w:val="7D150387"/>
    <w:rsid w:val="7D193155"/>
    <w:rsid w:val="7D295241"/>
    <w:rsid w:val="7D2B5BF4"/>
    <w:rsid w:val="7D3D38AB"/>
    <w:rsid w:val="7D413779"/>
    <w:rsid w:val="7D491D1F"/>
    <w:rsid w:val="7D4D5F9A"/>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B08F4"/>
    <w:rsid w:val="7D9E3603"/>
    <w:rsid w:val="7D9F62FE"/>
    <w:rsid w:val="7DA31FD4"/>
    <w:rsid w:val="7DB4614C"/>
    <w:rsid w:val="7DB72EAF"/>
    <w:rsid w:val="7DBF08C6"/>
    <w:rsid w:val="7DBF1D7F"/>
    <w:rsid w:val="7DDF7FB6"/>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74B7B"/>
    <w:rsid w:val="7E690920"/>
    <w:rsid w:val="7E691AAA"/>
    <w:rsid w:val="7E7365FC"/>
    <w:rsid w:val="7E784DF4"/>
    <w:rsid w:val="7E81049F"/>
    <w:rsid w:val="7E85198B"/>
    <w:rsid w:val="7E8C5D3C"/>
    <w:rsid w:val="7EA521AD"/>
    <w:rsid w:val="7EA53577"/>
    <w:rsid w:val="7EAF5CF0"/>
    <w:rsid w:val="7EB37EC7"/>
    <w:rsid w:val="7EBC6F95"/>
    <w:rsid w:val="7EBD709F"/>
    <w:rsid w:val="7EC9438D"/>
    <w:rsid w:val="7ECA7E41"/>
    <w:rsid w:val="7ECE76CB"/>
    <w:rsid w:val="7ED32E22"/>
    <w:rsid w:val="7EE05614"/>
    <w:rsid w:val="7EED6BF3"/>
    <w:rsid w:val="7EF4611F"/>
    <w:rsid w:val="7EFB5C2C"/>
    <w:rsid w:val="7EFC08FE"/>
    <w:rsid w:val="7EFC1A7B"/>
    <w:rsid w:val="7F1D78F0"/>
    <w:rsid w:val="7F26412C"/>
    <w:rsid w:val="7F2D2129"/>
    <w:rsid w:val="7F331D30"/>
    <w:rsid w:val="7F363D4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
    <w:basedOn w:val="1"/>
    <w:unhideWhenUsed/>
    <w:qFormat/>
    <w:uiPriority w:val="99"/>
    <w:pPr>
      <w:ind w:left="720"/>
      <w:contextualSpacing/>
    </w:pPr>
  </w:style>
  <w:style w:type="paragraph" w:customStyle="1" w:styleId="125">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2056</Words>
  <Characters>11725</Characters>
  <Lines>97</Lines>
  <Paragraphs>27</Paragraphs>
  <TotalTime>289</TotalTime>
  <ScaleCrop>false</ScaleCrop>
  <LinksUpToDate>false</LinksUpToDate>
  <CharactersWithSpaces>13754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2019-11-08T20:18:29Z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